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D5C71" w14:textId="77777777" w:rsidR="008D38AF" w:rsidRDefault="008D38AF" w:rsidP="00511738">
      <w:pPr>
        <w:pStyle w:val="ConsPlusNormal"/>
        <w:jc w:val="both"/>
        <w:rPr>
          <w:rFonts w:asciiTheme="minorHAnsi" w:hAnsiTheme="minorHAnsi"/>
        </w:rPr>
      </w:pPr>
      <w:r>
        <w:rPr>
          <w:rFonts w:asciiTheme="minorHAnsi" w:hAnsiTheme="minorHAnsi"/>
        </w:rPr>
        <w:t>Материал предоставлен ООО «КонсультантПлюс Югра».</w:t>
      </w:r>
    </w:p>
    <w:p w14:paraId="55901D83" w14:textId="77777777" w:rsidR="008D38AF" w:rsidRDefault="008D38AF" w:rsidP="00511738">
      <w:pPr>
        <w:pStyle w:val="ConsPlusNormal"/>
        <w:jc w:val="both"/>
        <w:rPr>
          <w:rFonts w:asciiTheme="minorHAnsi" w:hAnsiTheme="minorHAnsi"/>
          <w:b/>
        </w:rPr>
      </w:pPr>
      <w:r>
        <w:rPr>
          <w:rFonts w:asciiTheme="minorHAnsi" w:hAnsiTheme="minorHAnsi"/>
        </w:rPr>
        <w:t>Услуга оказывается в соответствии с регламентом Линии консультаций:</w:t>
      </w:r>
      <w:r>
        <w:rPr>
          <w:rFonts w:asciiTheme="minorHAnsi" w:hAnsiTheme="minorHAnsi"/>
          <w:b/>
        </w:rPr>
        <w:t xml:space="preserve"> </w:t>
      </w:r>
    </w:p>
    <w:p w14:paraId="14C908DA" w14:textId="77777777" w:rsidR="008D38AF" w:rsidRDefault="008D38AF" w:rsidP="00511738">
      <w:pPr>
        <w:pStyle w:val="ConsPlusNormal"/>
        <w:jc w:val="both"/>
        <w:rPr>
          <w:rFonts w:asciiTheme="minorHAnsi" w:hAnsiTheme="minorHAnsi"/>
        </w:rPr>
      </w:pPr>
      <w:r>
        <w:rPr>
          <w:i/>
          <w:iCs/>
          <w:color w:val="00B0F0"/>
          <w:u w:val="single"/>
        </w:rPr>
        <w:t>https://consultantugra.ru/goryachaya-liniya/reglament-linii-konsultacij/</w:t>
      </w:r>
      <w:r>
        <w:rPr>
          <w:rFonts w:asciiTheme="minorHAnsi" w:hAnsiTheme="minorHAnsi"/>
        </w:rPr>
        <w:br/>
      </w:r>
    </w:p>
    <w:p w14:paraId="7F655A00" w14:textId="77777777" w:rsidR="008D38AF" w:rsidRDefault="008D38AF" w:rsidP="00511738">
      <w:pPr>
        <w:pStyle w:val="ConsPlusNormal"/>
        <w:jc w:val="both"/>
        <w:outlineLvl w:val="0"/>
        <w:rPr>
          <w:rFonts w:asciiTheme="minorHAnsi" w:hAnsiTheme="minorHAnsi"/>
        </w:rPr>
      </w:pPr>
    </w:p>
    <w:tbl>
      <w:tblPr>
        <w:tblW w:w="10176" w:type="dxa"/>
        <w:jc w:val="center"/>
        <w:tblBorders>
          <w:left w:val="single" w:sz="24" w:space="0" w:color="CED3F1"/>
          <w:right w:val="single" w:sz="24" w:space="0" w:color="F4F3F8"/>
        </w:tblBorders>
        <w:tblCellMar>
          <w:top w:w="113" w:type="dxa"/>
          <w:left w:w="113" w:type="dxa"/>
          <w:bottom w:w="113" w:type="dxa"/>
          <w:right w:w="113" w:type="dxa"/>
        </w:tblCellMar>
        <w:tblLook w:val="04A0" w:firstRow="1" w:lastRow="0" w:firstColumn="1" w:lastColumn="0" w:noHBand="0" w:noVBand="1"/>
      </w:tblPr>
      <w:tblGrid>
        <w:gridCol w:w="10176"/>
      </w:tblGrid>
      <w:tr w:rsidR="008D38AF" w14:paraId="5AD0BDB6" w14:textId="77777777" w:rsidTr="00511738">
        <w:trPr>
          <w:jc w:val="center"/>
        </w:trPr>
        <w:tc>
          <w:tcPr>
            <w:tcW w:w="10176" w:type="dxa"/>
            <w:tcBorders>
              <w:top w:val="nil"/>
              <w:left w:val="single" w:sz="24" w:space="0" w:color="CED3F1"/>
              <w:bottom w:val="nil"/>
              <w:right w:val="single" w:sz="24" w:space="0" w:color="F4F3F8"/>
            </w:tcBorders>
            <w:shd w:val="clear" w:color="auto" w:fill="F4F3F8"/>
            <w:hideMark/>
          </w:tcPr>
          <w:p w14:paraId="6E3AA4CA" w14:textId="73AC8C57" w:rsidR="008D38AF" w:rsidRDefault="008D38AF" w:rsidP="00511738">
            <w:pPr>
              <w:pStyle w:val="ConsPlusNormal"/>
              <w:jc w:val="right"/>
              <w:rPr>
                <w:rFonts w:asciiTheme="minorHAnsi" w:hAnsiTheme="minorHAnsi"/>
              </w:rPr>
            </w:pPr>
            <w:r>
              <w:rPr>
                <w:rFonts w:asciiTheme="minorHAnsi" w:hAnsiTheme="minorHAnsi"/>
                <w:color w:val="392C69"/>
              </w:rPr>
              <w:t xml:space="preserve">Актуально на </w:t>
            </w:r>
            <w:r w:rsidR="008C3992">
              <w:rPr>
                <w:rFonts w:asciiTheme="minorHAnsi" w:hAnsiTheme="minorHAnsi"/>
                <w:color w:val="392C69"/>
              </w:rPr>
              <w:t>13.01.2025</w:t>
            </w:r>
          </w:p>
        </w:tc>
      </w:tr>
    </w:tbl>
    <w:p w14:paraId="150AD15A" w14:textId="77777777" w:rsidR="008D38AF" w:rsidRDefault="008D38AF" w:rsidP="00511738">
      <w:pPr>
        <w:pStyle w:val="ConsPlusNormal"/>
        <w:rPr>
          <w:rFonts w:asciiTheme="minorHAnsi" w:eastAsia="Times New Roman" w:hAnsiTheme="minorHAnsi"/>
          <w:lang w:val="en-US"/>
        </w:rPr>
      </w:pPr>
      <w:r>
        <w:rPr>
          <w:rFonts w:asciiTheme="minorHAnsi" w:hAnsiTheme="minorHAnsi"/>
          <w:b/>
          <w:sz w:val="38"/>
        </w:rPr>
        <w:t>По вопросу</w:t>
      </w:r>
      <w:r>
        <w:rPr>
          <w:rFonts w:asciiTheme="minorHAnsi" w:hAnsiTheme="minorHAnsi"/>
          <w:b/>
          <w:sz w:val="38"/>
          <w:lang w:val="en-US"/>
        </w:rPr>
        <w:t>:</w:t>
      </w:r>
    </w:p>
    <w:p w14:paraId="1E65DA7A" w14:textId="60BF6C24" w:rsidR="008C3992" w:rsidRPr="008C3992" w:rsidRDefault="008C3992" w:rsidP="00511738">
      <w:pPr>
        <w:pStyle w:val="ConsPlusNormal"/>
        <w:jc w:val="both"/>
        <w:rPr>
          <w:rFonts w:asciiTheme="minorHAnsi" w:hAnsiTheme="minorHAnsi"/>
        </w:rPr>
      </w:pPr>
      <w:r>
        <w:rPr>
          <w:rFonts w:asciiTheme="minorHAnsi" w:hAnsiTheme="minorHAnsi"/>
        </w:rPr>
        <w:t>М</w:t>
      </w:r>
      <w:r w:rsidRPr="008C3992">
        <w:rPr>
          <w:rFonts w:asciiTheme="minorHAnsi" w:hAnsiTheme="minorHAnsi"/>
        </w:rPr>
        <w:t>ожем ли мы принимать товар в 2025 году? Ситуация: договор заключен в 2024 году, срок действия по договору: Настоящий договор вступает в силу с момента его заключения и действует по «31» декабря 2024 г. , а в части расчетов (в том числе обязательств по возмещению убытков и выплате неустойки (штрафы, пени) - до полного исполнения обязательств Сторонами. Товар поступил только в 2025 году. Что делать Заказчику? Принимать за рамками договора? Или вернуть товар поставщику?</w:t>
      </w:r>
    </w:p>
    <w:p w14:paraId="484289FE" w14:textId="2AA47B38" w:rsidR="008D38AF" w:rsidRPr="008C3992" w:rsidRDefault="008D38AF" w:rsidP="00511738">
      <w:pPr>
        <w:pStyle w:val="ConsPlusNormal"/>
        <w:jc w:val="both"/>
        <w:rPr>
          <w:rFonts w:asciiTheme="minorHAnsi" w:hAnsiTheme="minorHAnsi"/>
        </w:rPr>
      </w:pPr>
      <w:r>
        <w:rPr>
          <w:rFonts w:asciiTheme="minorHAnsi" w:hAnsiTheme="minorHAnsi"/>
          <w:b/>
          <w:sz w:val="38"/>
        </w:rPr>
        <w:t>Сообщаем</w:t>
      </w:r>
      <w:r w:rsidRPr="008C3992">
        <w:rPr>
          <w:rFonts w:asciiTheme="minorHAnsi" w:hAnsiTheme="minorHAnsi"/>
          <w:b/>
          <w:sz w:val="38"/>
        </w:rPr>
        <w:t>:</w:t>
      </w:r>
    </w:p>
    <w:tbl>
      <w:tblPr>
        <w:tblW w:w="10705" w:type="dxa"/>
        <w:tblInd w:w="180" w:type="dxa"/>
        <w:tblBorders>
          <w:left w:val="single" w:sz="24" w:space="0" w:color="FE9500"/>
        </w:tblBorders>
        <w:tblCellMar>
          <w:top w:w="180" w:type="dxa"/>
          <w:left w:w="180" w:type="dxa"/>
          <w:bottom w:w="180" w:type="dxa"/>
          <w:right w:w="180" w:type="dxa"/>
        </w:tblCellMar>
        <w:tblLook w:val="04A0" w:firstRow="1" w:lastRow="0" w:firstColumn="1" w:lastColumn="0" w:noHBand="0" w:noVBand="1"/>
      </w:tblPr>
      <w:tblGrid>
        <w:gridCol w:w="10705"/>
      </w:tblGrid>
      <w:tr w:rsidR="008D38AF" w14:paraId="1C7B2B0C" w14:textId="77777777" w:rsidTr="00511738">
        <w:tc>
          <w:tcPr>
            <w:tcW w:w="10705" w:type="dxa"/>
            <w:tcBorders>
              <w:top w:val="nil"/>
              <w:left w:val="single" w:sz="24" w:space="0" w:color="FE9500"/>
              <w:bottom w:val="nil"/>
              <w:right w:val="nil"/>
            </w:tcBorders>
            <w:shd w:val="clear" w:color="auto" w:fill="F2F4E6"/>
          </w:tcPr>
          <w:p w14:paraId="66367AA1" w14:textId="77777777" w:rsidR="008C3992" w:rsidRDefault="008C3992" w:rsidP="00511738">
            <w:pPr>
              <w:pStyle w:val="ConsPlusNormal"/>
              <w:ind w:firstLine="540"/>
              <w:jc w:val="both"/>
            </w:pPr>
            <w:hyperlink r:id="rId4">
              <w:r w:rsidRPr="008C3992">
                <w:rPr>
                  <w:b/>
                  <w:bCs/>
                  <w:color w:val="0000FF"/>
                </w:rPr>
                <w:t>Законом</w:t>
              </w:r>
            </w:hyperlink>
            <w:r w:rsidRPr="008C3992">
              <w:rPr>
                <w:b/>
                <w:bCs/>
              </w:rPr>
              <w:t xml:space="preserve"> N 223-ФЗ не регламентирован порядок приемки</w:t>
            </w:r>
            <w:r>
              <w:t xml:space="preserve"> выполненных работ, а также расторжения договоров.</w:t>
            </w:r>
          </w:p>
          <w:p w14:paraId="530B6A13" w14:textId="77777777" w:rsidR="008C3992" w:rsidRDefault="008C3992" w:rsidP="00511738">
            <w:pPr>
              <w:pStyle w:val="ConsPlusNormal"/>
              <w:ind w:firstLine="540"/>
              <w:jc w:val="both"/>
            </w:pPr>
            <w:r>
              <w:t xml:space="preserve">Таким образом, </w:t>
            </w:r>
            <w:r w:rsidRPr="008C3992">
              <w:rPr>
                <w:b/>
                <w:bCs/>
              </w:rPr>
              <w:t>заказчик вправе самостоятельно устанавливать в положении о закупке все условия, касающиеся</w:t>
            </w:r>
            <w:r>
              <w:t xml:space="preserve"> заключения по результатам закупки договора, его </w:t>
            </w:r>
            <w:r w:rsidRPr="008C3992">
              <w:rPr>
                <w:b/>
                <w:bCs/>
              </w:rPr>
              <w:t xml:space="preserve">исполнения </w:t>
            </w:r>
            <w:r>
              <w:t>и расторжения.</w:t>
            </w:r>
          </w:p>
          <w:p w14:paraId="77F130D8" w14:textId="4DF48634" w:rsidR="008C3992" w:rsidRDefault="008C3992" w:rsidP="00511738">
            <w:pPr>
              <w:pStyle w:val="ConsPlusNormal"/>
            </w:pPr>
            <w:r>
              <w:t xml:space="preserve">(Источник: </w:t>
            </w:r>
            <w:hyperlink r:id="rId5">
              <w:r>
                <w:rPr>
                  <w:i/>
                  <w:color w:val="0000FF"/>
                </w:rPr>
                <w:t>{Вопрос: Об установлении заказчиком в положении о закупке условий заключения, исполнения и расторжения договора. (Письмо Минэкономразвития России от 16.08.2016 N Д28и-2071) {КонсультантПлюс}}</w:t>
              </w:r>
            </w:hyperlink>
            <w:r>
              <w:rPr>
                <w:iCs/>
              </w:rPr>
              <w:t>).</w:t>
            </w:r>
            <w:r>
              <w:br/>
            </w:r>
          </w:p>
          <w:p w14:paraId="488553AA" w14:textId="77777777" w:rsidR="008C3992" w:rsidRPr="00B94F67" w:rsidRDefault="008C3992" w:rsidP="00511738">
            <w:pPr>
              <w:pStyle w:val="ConsPlusNormal"/>
              <w:ind w:firstLine="540"/>
              <w:jc w:val="both"/>
              <w:rPr>
                <w:b/>
                <w:bCs/>
              </w:rPr>
            </w:pPr>
            <w:r w:rsidRPr="00B94F67">
              <w:rPr>
                <w:b/>
                <w:bCs/>
              </w:rPr>
              <w:t xml:space="preserve">При закупке товаров, работ, услуг заказчики в соответствии с </w:t>
            </w:r>
            <w:hyperlink r:id="rId6">
              <w:r w:rsidRPr="00B94F67">
                <w:rPr>
                  <w:b/>
                  <w:bCs/>
                  <w:color w:val="0000FF"/>
                </w:rPr>
                <w:t>частью 1 статьи 2</w:t>
              </w:r>
            </w:hyperlink>
            <w:r w:rsidRPr="00B94F67">
              <w:rPr>
                <w:b/>
                <w:bCs/>
              </w:rPr>
              <w:t xml:space="preserve"> Закона N 223-ФЗ руководствуются в том числе Гражданским </w:t>
            </w:r>
            <w:hyperlink r:id="rId7">
              <w:r w:rsidRPr="00B94F67">
                <w:rPr>
                  <w:b/>
                  <w:bCs/>
                  <w:color w:val="0000FF"/>
                </w:rPr>
                <w:t>кодексом</w:t>
              </w:r>
            </w:hyperlink>
            <w:r w:rsidRPr="00B94F67">
              <w:rPr>
                <w:b/>
                <w:bCs/>
              </w:rPr>
              <w:t xml:space="preserve"> Российской Федерации, а также положением о закупке заказчика.</w:t>
            </w:r>
          </w:p>
          <w:p w14:paraId="2E593798" w14:textId="77777777" w:rsidR="00B94F67" w:rsidRDefault="00B94F67" w:rsidP="00511738">
            <w:pPr>
              <w:pStyle w:val="ConsPlusNormal"/>
              <w:rPr>
                <w:iCs/>
              </w:rPr>
            </w:pPr>
            <w:r>
              <w:t xml:space="preserve">(Источник: </w:t>
            </w:r>
            <w:hyperlink r:id="rId8">
              <w:r w:rsidR="008C3992">
                <w:rPr>
                  <w:i/>
                  <w:color w:val="0000FF"/>
                </w:rPr>
                <w:t>{Вопрос: О размещении в реестре договоров информации о наименовании страны происхождения товара по договорам по строительству, реконструкции, капитальному ремонту, ремонту, содержанию автомобильных дорог. (Письмо Минфина России от 18.03.2020 N 24-03-07/22076) {КонсультантПлюс}}</w:t>
              </w:r>
            </w:hyperlink>
            <w:r>
              <w:rPr>
                <w:iCs/>
              </w:rPr>
              <w:t>).</w:t>
            </w:r>
          </w:p>
          <w:p w14:paraId="069CF607" w14:textId="77777777" w:rsidR="00B94F67" w:rsidRDefault="00B94F67" w:rsidP="00511738">
            <w:pPr>
              <w:pStyle w:val="ConsPlusNormal"/>
              <w:rPr>
                <w:iCs/>
              </w:rPr>
            </w:pPr>
          </w:p>
          <w:p w14:paraId="520ACE7D" w14:textId="77777777" w:rsidR="00B94F67" w:rsidRDefault="00B94F67" w:rsidP="00511738">
            <w:pPr>
              <w:pStyle w:val="ConsPlusNormal"/>
              <w:rPr>
                <w:i/>
              </w:rPr>
            </w:pPr>
            <w:r w:rsidRPr="00B94F67">
              <w:rPr>
                <w:i/>
              </w:rPr>
              <w:t xml:space="preserve">Примеры судебных решений: </w:t>
            </w:r>
          </w:p>
          <w:p w14:paraId="3D4D7BC4" w14:textId="77777777" w:rsidR="00B94F67" w:rsidRDefault="00B94F67" w:rsidP="00511738">
            <w:pPr>
              <w:pStyle w:val="ConsPlusNormal"/>
              <w:rPr>
                <w:i/>
              </w:rPr>
            </w:pPr>
          </w:p>
          <w:p w14:paraId="137D73EB" w14:textId="77777777" w:rsidR="00B94F67" w:rsidRDefault="00B94F67" w:rsidP="00511738">
            <w:pPr>
              <w:pStyle w:val="ConsPlusNormal"/>
              <w:ind w:firstLine="540"/>
              <w:jc w:val="both"/>
            </w:pPr>
            <w:r>
              <w:t xml:space="preserve">Положениями </w:t>
            </w:r>
            <w:hyperlink r:id="rId9" w:tooltip="&quot;Гражданский кодекс Российской Федерации (часть первая)&quot; от 30.11.1994 N 51-ФЗ (ред. от 11.03.2024)------------ Недействующая редакция{КонсультантПлюс}" w:history="1">
              <w:r>
                <w:rPr>
                  <w:rStyle w:val="a3"/>
                </w:rPr>
                <w:t>ст. 425</w:t>
              </w:r>
            </w:hyperlink>
            <w:r>
              <w:t xml:space="preserve"> ГК РФ предусмотрено, что договор вступает в силу и становится обязательным для сторон с момента его заключения. Законом или договором может быть предусмотрено, что окончание срока действия договора влечет прекращение обязательств сторон по договору. Договор, в котором отсутствует такое условие, признается действующим до определенного в нем момента окончания исполнения сторонами обязательства.</w:t>
            </w:r>
          </w:p>
          <w:p w14:paraId="4ED4B97D" w14:textId="77777777" w:rsidR="00B94F67" w:rsidRDefault="00B94F67" w:rsidP="00511738">
            <w:pPr>
              <w:pStyle w:val="ConsPlusNormal"/>
              <w:ind w:firstLine="540"/>
              <w:jc w:val="both"/>
            </w:pPr>
            <w:r>
              <w:t xml:space="preserve">По смыслу приведенных норм </w:t>
            </w:r>
            <w:hyperlink r:id="rId10" w:tooltip="&quot;Гражданский кодекс Российской Федерации (часть первая)&quot; от 30.11.1994 N 51-ФЗ (ред. от 11.03.2024)------------ Недействующая редакция{КонсультантПлюс}" w:history="1">
              <w:r>
                <w:rPr>
                  <w:rStyle w:val="a3"/>
                </w:rPr>
                <w:t>статьи 425</w:t>
              </w:r>
            </w:hyperlink>
            <w:r>
              <w:t xml:space="preserve"> ГК РФ истечение срока действия договора не прекращает неисполненные к этому моменту обязательства.</w:t>
            </w:r>
          </w:p>
          <w:p w14:paraId="51DCD650" w14:textId="77777777" w:rsidR="00B94F67" w:rsidRDefault="00B94F67" w:rsidP="00511738">
            <w:pPr>
              <w:pStyle w:val="ConsPlusNormal"/>
              <w:ind w:firstLine="540"/>
              <w:jc w:val="both"/>
            </w:pPr>
            <w:r>
              <w:t>При этом, если между сторонами состоялся встречный эквивалентный обмен и сальдо встречных предоставлений не склоняется в пользу одной из них, либо такого обмена не происходило вовсе, то с истечением срока договора прекращается всякая обязанность сторон совершать в пользу друг друга какое бы то ни было исполнение.</w:t>
            </w:r>
          </w:p>
          <w:p w14:paraId="2016961A" w14:textId="77777777" w:rsidR="00B94F67" w:rsidRPr="00511738" w:rsidRDefault="00B94F67" w:rsidP="00511738">
            <w:pPr>
              <w:pStyle w:val="ConsPlusNormal"/>
              <w:ind w:firstLine="540"/>
              <w:jc w:val="both"/>
              <w:rPr>
                <w:b/>
                <w:bCs/>
              </w:rPr>
            </w:pPr>
            <w:r w:rsidRPr="00511738">
              <w:rPr>
                <w:b/>
                <w:bCs/>
              </w:rPr>
              <w:t>В пункте 12.1. контракта стороны предусмотрели, что он вступает в силу с момента его заключения и действует до 31.12.2022, а в части осуществления расчетов и ответственности - до полного исполнения сторонами взаимных обязательств.</w:t>
            </w:r>
          </w:p>
          <w:p w14:paraId="1D893186" w14:textId="77777777" w:rsidR="00B94F67" w:rsidRPr="00511738" w:rsidRDefault="00B94F67" w:rsidP="00511738">
            <w:pPr>
              <w:pStyle w:val="ConsPlusNormal"/>
              <w:ind w:firstLine="540"/>
              <w:jc w:val="both"/>
            </w:pPr>
            <w:r w:rsidRPr="00511738">
              <w:t>Стороны подтвердили, что в рамках заключенного ими контракта ответчик поставил, а истец оплатил товар на сумму 4 317 298,62 руб. Иных заявок на поставку не направлялось. Сведений о наличии претензий между контрагентами в материалах дела не имеется.</w:t>
            </w:r>
          </w:p>
          <w:p w14:paraId="333D9F7F" w14:textId="77777777" w:rsidR="00B94F67" w:rsidRPr="00511738" w:rsidRDefault="00B94F67" w:rsidP="00511738">
            <w:pPr>
              <w:pStyle w:val="ConsPlusNormal"/>
              <w:ind w:firstLine="540"/>
              <w:jc w:val="both"/>
              <w:rPr>
                <w:b/>
                <w:bCs/>
                <w:u w:val="single"/>
              </w:rPr>
            </w:pPr>
            <w:r w:rsidRPr="00511738">
              <w:rPr>
                <w:b/>
                <w:bCs/>
                <w:u w:val="single"/>
              </w:rPr>
              <w:t>Соответственно, суд констатирует истечение срока действия контракта и прекращение обязательств сторон после 31.12.2022.</w:t>
            </w:r>
          </w:p>
          <w:p w14:paraId="3DE773B4" w14:textId="6AF4CC90" w:rsidR="008C3992" w:rsidRPr="00B94F67" w:rsidRDefault="00511738" w:rsidP="00511738">
            <w:pPr>
              <w:pStyle w:val="ConsPlusNormal"/>
              <w:rPr>
                <w:i/>
              </w:rPr>
            </w:pPr>
            <w:r>
              <w:t xml:space="preserve">(Источник: </w:t>
            </w:r>
            <w:hyperlink r:id="rId11" w:tooltip="Решение Арбитражного суда Калининградской области от 11.04.2024 по делу N А21-16097/2023 Требование: О расторжении контракта на поставку лекарственных препаратов для медицинского применения. Решение: В удовлетворении требования отказано.{КонсультантПлюс}" w:history="1">
              <w:r w:rsidR="00B94F67" w:rsidRPr="00511738">
                <w:rPr>
                  <w:rStyle w:val="a3"/>
                  <w:i/>
                  <w:iCs/>
                  <w:u w:val="none"/>
                </w:rPr>
                <w:t>{Решение Арбитражного суда Калининградской области от 11.04.2024 по делу N А21-16097/2023 {КонсультантПлюс}}</w:t>
              </w:r>
            </w:hyperlink>
            <w:r>
              <w:t>).</w:t>
            </w:r>
            <w:r w:rsidR="008C3992" w:rsidRPr="00B94F67">
              <w:rPr>
                <w:i/>
              </w:rPr>
              <w:br/>
            </w:r>
          </w:p>
          <w:p w14:paraId="734E9D26" w14:textId="77777777" w:rsidR="008C3992" w:rsidRPr="00B94F67" w:rsidRDefault="008C3992" w:rsidP="00511738">
            <w:pPr>
              <w:spacing w:after="0" w:line="240" w:lineRule="auto"/>
              <w:rPr>
                <w:sz w:val="32"/>
                <w:szCs w:val="32"/>
              </w:rPr>
            </w:pPr>
            <w:r w:rsidRPr="00B94F67">
              <w:rPr>
                <w:rFonts w:ascii="Calibri" w:hAnsi="Calibri" w:cs="Calibri"/>
                <w:b/>
                <w:sz w:val="32"/>
                <w:szCs w:val="32"/>
              </w:rPr>
              <w:lastRenderedPageBreak/>
              <w:t>Могут ли суды расценить исполнение договора поставки за пределами срока его действия на его условиях как поставку в рамках этого договора</w:t>
            </w:r>
          </w:p>
          <w:p w14:paraId="29EFB610" w14:textId="77777777" w:rsidR="008C3992" w:rsidRPr="00B94F67" w:rsidRDefault="008C3992" w:rsidP="00511738">
            <w:pPr>
              <w:spacing w:after="0" w:line="240" w:lineRule="auto"/>
              <w:jc w:val="both"/>
              <w:rPr>
                <w:b/>
                <w:bCs/>
                <w:u w:val="single"/>
              </w:rPr>
            </w:pPr>
            <w:r>
              <w:rPr>
                <w:rFonts w:ascii="Calibri" w:hAnsi="Calibri" w:cs="Calibri"/>
                <w:b/>
              </w:rPr>
              <w:t>Вывод из судебной практики:</w:t>
            </w:r>
            <w:r>
              <w:rPr>
                <w:rFonts w:ascii="Calibri" w:hAnsi="Calibri" w:cs="Calibri"/>
              </w:rPr>
              <w:t xml:space="preserve"> </w:t>
            </w:r>
            <w:r w:rsidRPr="00B94F67">
              <w:rPr>
                <w:rFonts w:ascii="Calibri" w:hAnsi="Calibri" w:cs="Calibri"/>
                <w:b/>
                <w:bCs/>
                <w:u w:val="single"/>
              </w:rPr>
              <w:t>исполнение сторонами договора поставки за пределами срока его действия может быть расценено судом как поставка в рамках данного договора, если исполнение производилось на условиях, указанных в договоре.</w:t>
            </w:r>
          </w:p>
          <w:p w14:paraId="6C285602" w14:textId="5ECFED75" w:rsidR="008C3992" w:rsidRDefault="008C3992" w:rsidP="00511738">
            <w:pPr>
              <w:spacing w:after="0" w:line="240" w:lineRule="auto"/>
              <w:jc w:val="both"/>
              <w:rPr>
                <w:rFonts w:ascii="Calibri" w:hAnsi="Calibri" w:cs="Calibri"/>
              </w:rPr>
            </w:pPr>
            <w:r>
              <w:rPr>
                <w:rFonts w:ascii="Calibri" w:hAnsi="Calibri" w:cs="Calibri"/>
              </w:rPr>
              <w:t xml:space="preserve">Применимые нормы: </w:t>
            </w:r>
            <w:hyperlink r:id="rId12">
              <w:r>
                <w:rPr>
                  <w:rFonts w:ascii="Calibri" w:hAnsi="Calibri" w:cs="Calibri"/>
                  <w:color w:val="0000FF"/>
                </w:rPr>
                <w:t>ст. ст. 432</w:t>
              </w:r>
            </w:hyperlink>
            <w:r>
              <w:rPr>
                <w:rFonts w:ascii="Calibri" w:hAnsi="Calibri" w:cs="Calibri"/>
              </w:rPr>
              <w:t xml:space="preserve">, </w:t>
            </w:r>
            <w:hyperlink r:id="rId13">
              <w:r>
                <w:rPr>
                  <w:rFonts w:ascii="Calibri" w:hAnsi="Calibri" w:cs="Calibri"/>
                  <w:color w:val="0000FF"/>
                </w:rPr>
                <w:t>433</w:t>
              </w:r>
            </w:hyperlink>
            <w:r>
              <w:rPr>
                <w:rFonts w:ascii="Calibri" w:hAnsi="Calibri" w:cs="Calibri"/>
              </w:rPr>
              <w:t xml:space="preserve">, </w:t>
            </w:r>
            <w:hyperlink r:id="rId14">
              <w:r>
                <w:rPr>
                  <w:rFonts w:ascii="Calibri" w:hAnsi="Calibri" w:cs="Calibri"/>
                  <w:color w:val="0000FF"/>
                </w:rPr>
                <w:t>435</w:t>
              </w:r>
            </w:hyperlink>
            <w:r>
              <w:rPr>
                <w:rFonts w:ascii="Calibri" w:hAnsi="Calibri" w:cs="Calibri"/>
              </w:rPr>
              <w:t xml:space="preserve">, </w:t>
            </w:r>
            <w:hyperlink r:id="rId15">
              <w:r>
                <w:rPr>
                  <w:rFonts w:ascii="Calibri" w:hAnsi="Calibri" w:cs="Calibri"/>
                  <w:color w:val="0000FF"/>
                </w:rPr>
                <w:t>438</w:t>
              </w:r>
            </w:hyperlink>
            <w:r>
              <w:rPr>
                <w:rFonts w:ascii="Calibri" w:hAnsi="Calibri" w:cs="Calibri"/>
              </w:rPr>
              <w:t xml:space="preserve"> ГК РФ</w:t>
            </w:r>
          </w:p>
          <w:p w14:paraId="69D5963E" w14:textId="41F1B937" w:rsidR="00B94F67" w:rsidRDefault="00B94F67" w:rsidP="00511738">
            <w:pPr>
              <w:spacing w:after="0" w:line="240" w:lineRule="auto"/>
              <w:jc w:val="both"/>
              <w:rPr>
                <w:rFonts w:ascii="Calibri" w:hAnsi="Calibri" w:cs="Calibri"/>
              </w:rPr>
            </w:pPr>
          </w:p>
          <w:p w14:paraId="636A2430" w14:textId="77777777" w:rsidR="00B94F67" w:rsidRDefault="00B94F67" w:rsidP="00511738">
            <w:pPr>
              <w:autoSpaceDE w:val="0"/>
              <w:autoSpaceDN w:val="0"/>
              <w:adjustRightInd w:val="0"/>
              <w:spacing w:after="0" w:line="240" w:lineRule="auto"/>
              <w:jc w:val="both"/>
              <w:rPr>
                <w:rFonts w:ascii="Calibri" w:hAnsi="Calibri" w:cs="Calibri"/>
              </w:rPr>
            </w:pPr>
            <w:r>
              <w:rPr>
                <w:rFonts w:ascii="Calibri" w:hAnsi="Calibri" w:cs="Calibri"/>
                <w:b/>
                <w:bCs/>
              </w:rPr>
              <w:t>Судебная практика:</w:t>
            </w:r>
          </w:p>
          <w:p w14:paraId="79FB221F" w14:textId="77777777" w:rsidR="00B94F67" w:rsidRDefault="00B94F67" w:rsidP="00511738">
            <w:pPr>
              <w:autoSpaceDE w:val="0"/>
              <w:autoSpaceDN w:val="0"/>
              <w:adjustRightInd w:val="0"/>
              <w:spacing w:after="0" w:line="240" w:lineRule="auto"/>
              <w:jc w:val="both"/>
              <w:outlineLvl w:val="0"/>
              <w:rPr>
                <w:rFonts w:ascii="Calibri" w:hAnsi="Calibri" w:cs="Calibri"/>
              </w:rPr>
            </w:pPr>
          </w:p>
          <w:p w14:paraId="3258F38D" w14:textId="77777777" w:rsidR="00B94F67" w:rsidRDefault="00B94F67" w:rsidP="00511738">
            <w:pPr>
              <w:autoSpaceDE w:val="0"/>
              <w:autoSpaceDN w:val="0"/>
              <w:adjustRightInd w:val="0"/>
              <w:spacing w:after="0" w:line="240" w:lineRule="auto"/>
              <w:jc w:val="both"/>
              <w:rPr>
                <w:rFonts w:ascii="Calibri" w:hAnsi="Calibri" w:cs="Calibri"/>
              </w:rPr>
            </w:pPr>
            <w:hyperlink r:id="rId16" w:history="1">
              <w:r>
                <w:rPr>
                  <w:rFonts w:ascii="Calibri" w:hAnsi="Calibri" w:cs="Calibri"/>
                  <w:color w:val="0000FF"/>
                </w:rPr>
                <w:t>Постановление</w:t>
              </w:r>
            </w:hyperlink>
            <w:r>
              <w:rPr>
                <w:rFonts w:ascii="Calibri" w:hAnsi="Calibri" w:cs="Calibri"/>
              </w:rPr>
              <w:t xml:space="preserve"> ФАС Восточно-Сибирского округа от 24.11.2011 по делу N А33-13303/2010</w:t>
            </w:r>
          </w:p>
          <w:p w14:paraId="19843E78" w14:textId="77777777" w:rsidR="00B94F67" w:rsidRDefault="00B94F67" w:rsidP="00511738">
            <w:pPr>
              <w:autoSpaceDE w:val="0"/>
              <w:autoSpaceDN w:val="0"/>
              <w:adjustRightInd w:val="0"/>
              <w:spacing w:after="0" w:line="240" w:lineRule="auto"/>
              <w:jc w:val="both"/>
              <w:rPr>
                <w:rFonts w:ascii="Calibri" w:hAnsi="Calibri" w:cs="Calibri"/>
              </w:rPr>
            </w:pPr>
            <w:r>
              <w:rPr>
                <w:rFonts w:ascii="Calibri" w:hAnsi="Calibri" w:cs="Calibri"/>
              </w:rPr>
              <w:t>"...В обоснование исковых требований истец ссылается на то, что 11.02.2002 и 30.06.2006 между ООО "Кодинский деревообрабатывающий комбинат" (продавец) и фирмой "Силверлайн Венчурз Лимитед" (покупатель) заключены контракты N КО/СИЛВЕР-11/02/02 и N КО/СИЛВЕР-ЕВРО соответственно, согласно которым продавец поставляет пиломатериалы хвойных пород (далее - товар) в количестве 100 000 куб. м, а покупатель оплачивает за него цену, предусмотренную настоящими контрактами и приложениями к нему. Вывоз товара за границу Российской Федерации осуществляется покупателем.</w:t>
            </w:r>
          </w:p>
          <w:p w14:paraId="015D37B2" w14:textId="77777777" w:rsidR="00B94F67" w:rsidRDefault="00B94F67" w:rsidP="00511738">
            <w:pPr>
              <w:autoSpaceDE w:val="0"/>
              <w:autoSpaceDN w:val="0"/>
              <w:adjustRightInd w:val="0"/>
              <w:spacing w:after="0" w:line="240" w:lineRule="auto"/>
              <w:jc w:val="both"/>
              <w:rPr>
                <w:rFonts w:ascii="Calibri" w:hAnsi="Calibri" w:cs="Calibri"/>
              </w:rPr>
            </w:pPr>
            <w:r>
              <w:rPr>
                <w:rFonts w:ascii="Calibri" w:hAnsi="Calibri" w:cs="Calibri"/>
              </w:rPr>
              <w:t>Ссылаясь на то, что срок действия контракта от 11.02.2002 N КО/СИЛВЕР-11/02/02 истек и что приложения к нему N 1 - 40 являются разовыми сделками, обязательства по поставке товара исполнены ООО "Кодинский деревообрабатывающий комбинат" частично, компания обратилась с иском в суд с требованием о взыскании с ответчика 3 141 427 долларов 93 цента США долга, 293 723 долларов 51 центов США процентов за пользование чужими денежными средствами.</w:t>
            </w:r>
          </w:p>
          <w:p w14:paraId="702E60AF" w14:textId="77777777" w:rsidR="00B94F67" w:rsidRDefault="00B94F67" w:rsidP="00511738">
            <w:pPr>
              <w:autoSpaceDE w:val="0"/>
              <w:autoSpaceDN w:val="0"/>
              <w:adjustRightInd w:val="0"/>
              <w:spacing w:after="0" w:line="240" w:lineRule="auto"/>
              <w:jc w:val="both"/>
              <w:rPr>
                <w:rFonts w:ascii="Calibri" w:hAnsi="Calibri" w:cs="Calibri"/>
              </w:rPr>
            </w:pPr>
            <w:r>
              <w:rPr>
                <w:rFonts w:ascii="Calibri" w:hAnsi="Calibri" w:cs="Calibri"/>
              </w:rPr>
              <w:t xml:space="preserve">Судами первой и апелляционной инстанций с учетом требований </w:t>
            </w:r>
            <w:hyperlink r:id="rId17" w:history="1">
              <w:r>
                <w:rPr>
                  <w:rFonts w:ascii="Calibri" w:hAnsi="Calibri" w:cs="Calibri"/>
                  <w:color w:val="0000FF"/>
                </w:rPr>
                <w:t>статей 432</w:t>
              </w:r>
            </w:hyperlink>
            <w:r>
              <w:rPr>
                <w:rFonts w:ascii="Calibri" w:hAnsi="Calibri" w:cs="Calibri"/>
              </w:rPr>
              <w:t xml:space="preserve">, </w:t>
            </w:r>
            <w:hyperlink r:id="rId18" w:history="1">
              <w:r>
                <w:rPr>
                  <w:rFonts w:ascii="Calibri" w:hAnsi="Calibri" w:cs="Calibri"/>
                  <w:color w:val="0000FF"/>
                </w:rPr>
                <w:t>433</w:t>
              </w:r>
            </w:hyperlink>
            <w:r>
              <w:rPr>
                <w:rFonts w:ascii="Calibri" w:hAnsi="Calibri" w:cs="Calibri"/>
              </w:rPr>
              <w:t xml:space="preserve">, </w:t>
            </w:r>
            <w:hyperlink r:id="rId19" w:history="1">
              <w:r>
                <w:rPr>
                  <w:rFonts w:ascii="Calibri" w:hAnsi="Calibri" w:cs="Calibri"/>
                  <w:color w:val="0000FF"/>
                </w:rPr>
                <w:t>435</w:t>
              </w:r>
            </w:hyperlink>
            <w:r>
              <w:rPr>
                <w:rFonts w:ascii="Calibri" w:hAnsi="Calibri" w:cs="Calibri"/>
              </w:rPr>
              <w:t xml:space="preserve">, </w:t>
            </w:r>
            <w:hyperlink r:id="rId20" w:history="1">
              <w:r>
                <w:rPr>
                  <w:rFonts w:ascii="Calibri" w:hAnsi="Calibri" w:cs="Calibri"/>
                  <w:color w:val="0000FF"/>
                </w:rPr>
                <w:t>438</w:t>
              </w:r>
            </w:hyperlink>
            <w:r>
              <w:rPr>
                <w:rFonts w:ascii="Calibri" w:hAnsi="Calibri" w:cs="Calibri"/>
              </w:rPr>
              <w:t xml:space="preserve"> Гражданского кодекса Российской Федерации установлено, что, </w:t>
            </w:r>
            <w:r w:rsidRPr="00B94F67">
              <w:rPr>
                <w:rFonts w:ascii="Calibri" w:hAnsi="Calibri" w:cs="Calibri"/>
                <w:b/>
                <w:bCs/>
              </w:rPr>
              <w:t>несмотря на истечение срока действия контракта от 11.02.2002 N КО/СИЛВЕР-11/02/02, обязательства по нему продолжали действовать, поскольку поставки производились на условиях, согласованных сторонами в указанном контракте, стороны выразили волю на продолжение договорных отношений по нему и на обозначенных в нем условиях посредством совершения фактических действий.</w:t>
            </w:r>
            <w:r>
              <w:rPr>
                <w:rFonts w:ascii="Calibri" w:hAnsi="Calibri" w:cs="Calibri"/>
              </w:rPr>
              <w:t xml:space="preserve"> Во всех платежных документах указан единый транзитный валютный счет, который стороны согласовали в контракте от 11.02.2002 N КО/СИЛВЕР-11/02/02, основанием платежа везде указан данный контракт, которым определено родовое наименование товара (пиломатериал хвойных пород), общее количество всей совокупности поставок (100 000 руб.м). Наименование, ассортимент, количество, характеристики, стоимость партий товара, условия поставки (Инкотермс-2000, наименование грузополучателя, пункт назначения, требования к качеству товара, к упаковке) согласованы сторонами в приложениях (технических условиях к контракту от 11.02.2002 N КО/СИЛВЕР-11/02/02). Исполнение приложений к контракту от 11.02.2002 N КО/СИЛВЕР-11/02/02 направлено на исполнение условий контракта.</w:t>
            </w:r>
          </w:p>
          <w:p w14:paraId="3E3FFC2E" w14:textId="77777777" w:rsidR="00B94F67" w:rsidRDefault="00B94F67" w:rsidP="00511738">
            <w:pPr>
              <w:autoSpaceDE w:val="0"/>
              <w:autoSpaceDN w:val="0"/>
              <w:adjustRightInd w:val="0"/>
              <w:spacing w:after="0" w:line="240" w:lineRule="auto"/>
              <w:jc w:val="both"/>
              <w:rPr>
                <w:rFonts w:ascii="Calibri" w:hAnsi="Calibri" w:cs="Calibri"/>
              </w:rPr>
            </w:pPr>
            <w:r>
              <w:rPr>
                <w:rFonts w:ascii="Calibri" w:hAnsi="Calibri" w:cs="Calibri"/>
              </w:rPr>
              <w:t>В связи с этим довод истца о том, что приложения N 1 - 40 к контракту от 11.02.2002 N КО/СИЛВЕР-11/02/02 следует считать самостоятельными разовыми сделками купли-продажи, судом кассационной инстанции отклоняется, поскольку противоречит материалам дела и установленным судами по делу обстоятельствам.</w:t>
            </w:r>
          </w:p>
          <w:p w14:paraId="37BA5797" w14:textId="77777777" w:rsidR="00B94F67" w:rsidRDefault="00B94F67" w:rsidP="00511738">
            <w:pPr>
              <w:autoSpaceDE w:val="0"/>
              <w:autoSpaceDN w:val="0"/>
              <w:adjustRightInd w:val="0"/>
              <w:spacing w:after="0" w:line="240" w:lineRule="auto"/>
              <w:jc w:val="both"/>
              <w:rPr>
                <w:rFonts w:ascii="Calibri" w:hAnsi="Calibri" w:cs="Calibri"/>
              </w:rPr>
            </w:pPr>
            <w:r>
              <w:rPr>
                <w:rFonts w:ascii="Calibri" w:hAnsi="Calibri" w:cs="Calibri"/>
              </w:rPr>
              <w:t xml:space="preserve">Оснований для переоценки доказательств у Федерального арбитражного суда Восточно-Сибирского округа в силу требований </w:t>
            </w:r>
            <w:hyperlink r:id="rId21" w:history="1">
              <w:r>
                <w:rPr>
                  <w:rFonts w:ascii="Calibri" w:hAnsi="Calibri" w:cs="Calibri"/>
                  <w:color w:val="0000FF"/>
                </w:rPr>
                <w:t>статьи 286</w:t>
              </w:r>
            </w:hyperlink>
            <w:r>
              <w:rPr>
                <w:rFonts w:ascii="Calibri" w:hAnsi="Calibri" w:cs="Calibri"/>
              </w:rPr>
              <w:t xml:space="preserve"> Арбитражного процессуального кодекса Российской Федерации не имеется..."</w:t>
            </w:r>
          </w:p>
          <w:p w14:paraId="3BB4A719" w14:textId="1C070FAB" w:rsidR="008D38AF" w:rsidRPr="00511738" w:rsidRDefault="00B94F67" w:rsidP="00511738">
            <w:pPr>
              <w:spacing w:after="0" w:line="240" w:lineRule="auto"/>
              <w:jc w:val="both"/>
              <w:rPr>
                <w:rFonts w:ascii="Calibri" w:hAnsi="Calibri" w:cs="Calibri"/>
                <w:iCs/>
              </w:rPr>
            </w:pPr>
            <w:r>
              <w:t xml:space="preserve">(Источник: </w:t>
            </w:r>
            <w:hyperlink r:id="rId22">
              <w:r w:rsidR="008C3992">
                <w:rPr>
                  <w:rFonts w:ascii="Calibri" w:hAnsi="Calibri" w:cs="Calibri"/>
                  <w:i/>
                  <w:color w:val="0000FF"/>
                </w:rPr>
                <w:t>{Путеводитель по судебной практике: Поставка товаров. {КонсультантПлюс}}</w:t>
              </w:r>
            </w:hyperlink>
            <w:r>
              <w:rPr>
                <w:rFonts w:ascii="Calibri" w:hAnsi="Calibri" w:cs="Calibri"/>
                <w:iCs/>
              </w:rPr>
              <w:t>).</w:t>
            </w:r>
          </w:p>
        </w:tc>
      </w:tr>
    </w:tbl>
    <w:p w14:paraId="7324619F" w14:textId="5EFCE296" w:rsidR="008D38AF" w:rsidRDefault="008D38AF" w:rsidP="00511738">
      <w:pPr>
        <w:pBdr>
          <w:bottom w:val="double" w:sz="6" w:space="1" w:color="auto"/>
        </w:pBdr>
        <w:tabs>
          <w:tab w:val="left" w:pos="5255"/>
        </w:tabs>
        <w:spacing w:after="0" w:line="240" w:lineRule="auto"/>
        <w:ind w:right="-28" w:firstLine="540"/>
        <w:jc w:val="center"/>
        <w:rPr>
          <w:b/>
        </w:rPr>
      </w:pPr>
      <w:r>
        <w:rPr>
          <w:b/>
        </w:rPr>
        <w:lastRenderedPageBreak/>
        <w:t xml:space="preserve">Поиск информации осуществлялся  при  помощи  «i» к </w:t>
      </w:r>
      <w:r w:rsidR="00511738">
        <w:rPr>
          <w:b/>
        </w:rPr>
        <w:t>223</w:t>
      </w:r>
      <w:r>
        <w:rPr>
          <w:b/>
        </w:rPr>
        <w:t xml:space="preserve">-ФЗ с последующим уточнением </w:t>
      </w:r>
    </w:p>
    <w:p w14:paraId="55C216F5" w14:textId="78371CA3" w:rsidR="008D38AF" w:rsidRDefault="008D38AF" w:rsidP="00511738">
      <w:pPr>
        <w:pBdr>
          <w:bottom w:val="double" w:sz="6" w:space="1" w:color="auto"/>
        </w:pBdr>
        <w:tabs>
          <w:tab w:val="left" w:pos="5255"/>
        </w:tabs>
        <w:spacing w:after="0" w:line="240" w:lineRule="auto"/>
        <w:ind w:right="-28" w:firstLine="540"/>
        <w:jc w:val="center"/>
        <w:rPr>
          <w:color w:val="FF0000"/>
          <w:sz w:val="24"/>
          <w:szCs w:val="24"/>
        </w:rPr>
      </w:pPr>
      <w:r>
        <w:rPr>
          <w:color w:val="FF0000"/>
        </w:rPr>
        <w:t>«</w:t>
      </w:r>
      <w:r w:rsidR="00511738">
        <w:rPr>
          <w:color w:val="FF0000"/>
        </w:rPr>
        <w:t>порядок приемки</w:t>
      </w:r>
      <w:r>
        <w:rPr>
          <w:color w:val="FF0000"/>
        </w:rPr>
        <w:t>»</w:t>
      </w:r>
    </w:p>
    <w:p w14:paraId="630730EE" w14:textId="77777777" w:rsidR="008D38AF" w:rsidRDefault="008D38AF" w:rsidP="00511738">
      <w:pPr>
        <w:spacing w:after="0" w:line="240" w:lineRule="auto"/>
        <w:rPr>
          <w:b/>
          <w:bCs/>
          <w:sz w:val="40"/>
          <w:szCs w:val="40"/>
        </w:rPr>
      </w:pPr>
      <w:r>
        <w:rPr>
          <w:b/>
          <w:bCs/>
          <w:sz w:val="40"/>
          <w:szCs w:val="40"/>
        </w:rPr>
        <w:t>Полезные документы:</w:t>
      </w:r>
    </w:p>
    <w:p w14:paraId="31659C03" w14:textId="77777777" w:rsidR="00511738" w:rsidRDefault="00511738" w:rsidP="00511738">
      <w:pPr>
        <w:spacing w:after="0" w:line="240" w:lineRule="auto"/>
      </w:pPr>
      <w:hyperlink r:id="rId23">
        <w:r>
          <w:rPr>
            <w:rFonts w:ascii="Calibri" w:hAnsi="Calibri" w:cs="Calibri"/>
            <w:i/>
            <w:color w:val="0000FF"/>
          </w:rPr>
          <w:br/>
          <w:t>Готовое решение: Что нужно знать о договоре поставки (КонсультантПлюс, 2025) {КонсультантПлюс}</w:t>
        </w:r>
      </w:hyperlink>
      <w:r>
        <w:rPr>
          <w:rFonts w:ascii="Calibri" w:hAnsi="Calibri" w:cs="Calibri"/>
        </w:rPr>
        <w:br/>
      </w:r>
    </w:p>
    <w:p w14:paraId="541598D1" w14:textId="7D21DADC" w:rsidR="000F6F01" w:rsidRDefault="000F6F01" w:rsidP="00511738">
      <w:pPr>
        <w:spacing w:after="0" w:line="240" w:lineRule="auto"/>
        <w:outlineLvl w:val="0"/>
      </w:pPr>
      <w:r>
        <w:rPr>
          <w:rFonts w:ascii="Calibri" w:hAnsi="Calibri" w:cs="Calibri"/>
          <w:b/>
          <w:sz w:val="26"/>
        </w:rPr>
        <w:t>4.3. Как в договоре можно определить порядок исполнения обязательств за пределами срока действия договора поставки</w:t>
      </w:r>
    </w:p>
    <w:p w14:paraId="5B9474C6" w14:textId="77777777" w:rsidR="000F6F01" w:rsidRDefault="000F6F01" w:rsidP="00511738">
      <w:pPr>
        <w:spacing w:after="0" w:line="240" w:lineRule="auto"/>
        <w:jc w:val="both"/>
      </w:pPr>
      <w:r>
        <w:rPr>
          <w:rFonts w:ascii="Calibri" w:hAnsi="Calibri" w:cs="Calibri"/>
        </w:rPr>
        <w:t>В установленных законом пределах вы можете изменить действующие по умолчанию последствия прекращения или сохранения обязательств после истечения срока действия договора.</w:t>
      </w:r>
    </w:p>
    <w:p w14:paraId="6950AA84" w14:textId="77777777" w:rsidR="000F6F01" w:rsidRDefault="000F6F01" w:rsidP="00511738">
      <w:pPr>
        <w:spacing w:after="0" w:line="240" w:lineRule="auto"/>
        <w:jc w:val="both"/>
      </w:pPr>
      <w:r>
        <w:rPr>
          <w:rFonts w:ascii="Calibri" w:hAnsi="Calibri" w:cs="Calibri"/>
        </w:rPr>
        <w:t>В частности, можно включить в договор условие о том, что истечение срока его действия не прекращает обязанности поставщика поставить недопоставленное (</w:t>
      </w:r>
      <w:hyperlink r:id="rId24">
        <w:r>
          <w:rPr>
            <w:rFonts w:ascii="Calibri" w:hAnsi="Calibri" w:cs="Calibri"/>
            <w:color w:val="0000FF"/>
          </w:rPr>
          <w:t>п. 1 ст. 511</w:t>
        </w:r>
      </w:hyperlink>
      <w:r>
        <w:rPr>
          <w:rFonts w:ascii="Calibri" w:hAnsi="Calibri" w:cs="Calibri"/>
        </w:rPr>
        <w:t xml:space="preserve"> ГК РФ). Отсутствие такого условия влечет риск </w:t>
      </w:r>
      <w:hyperlink r:id="rId25">
        <w:r>
          <w:rPr>
            <w:rFonts w:ascii="Calibri" w:hAnsi="Calibri" w:cs="Calibri"/>
            <w:color w:val="0000FF"/>
          </w:rPr>
          <w:t>для покупателя</w:t>
        </w:r>
      </w:hyperlink>
      <w:r>
        <w:rPr>
          <w:rFonts w:ascii="Calibri" w:hAnsi="Calibri" w:cs="Calibri"/>
        </w:rPr>
        <w:t xml:space="preserve">, так как он не сможет требовать допоставки товара, и </w:t>
      </w:r>
      <w:hyperlink r:id="rId26">
        <w:r>
          <w:rPr>
            <w:rFonts w:ascii="Calibri" w:hAnsi="Calibri" w:cs="Calibri"/>
            <w:color w:val="0000FF"/>
          </w:rPr>
          <w:t>для поставщика</w:t>
        </w:r>
      </w:hyperlink>
      <w:r>
        <w:rPr>
          <w:rFonts w:ascii="Calibri" w:hAnsi="Calibri" w:cs="Calibri"/>
        </w:rPr>
        <w:t>, так как он должен будет вернуть полученную за недопоставленный товар предоплату.</w:t>
      </w:r>
    </w:p>
    <w:p w14:paraId="56AA7AF2" w14:textId="77777777" w:rsidR="000F6F01" w:rsidRDefault="000F6F01" w:rsidP="00511738">
      <w:pPr>
        <w:spacing w:after="0" w:line="240" w:lineRule="auto"/>
        <w:jc w:val="both"/>
      </w:pPr>
      <w:r>
        <w:rPr>
          <w:rFonts w:ascii="Calibri" w:hAnsi="Calibri" w:cs="Calibri"/>
        </w:rPr>
        <w:lastRenderedPageBreak/>
        <w:t>Можно, напротив, указать, что все обязательства сторон по истечении срока действия договора прекращаются. Без такой оговорки и если иное не предусмотрено законом, договор в части обязательств сторон действует до определенного в нем момента окончания их исполнения (</w:t>
      </w:r>
      <w:hyperlink r:id="rId27">
        <w:r>
          <w:rPr>
            <w:rFonts w:ascii="Calibri" w:hAnsi="Calibri" w:cs="Calibri"/>
            <w:color w:val="0000FF"/>
          </w:rPr>
          <w:t>п. 3 ст. 425</w:t>
        </w:r>
      </w:hyperlink>
      <w:r>
        <w:rPr>
          <w:rFonts w:ascii="Calibri" w:hAnsi="Calibri" w:cs="Calibri"/>
        </w:rPr>
        <w:t xml:space="preserve"> ГК РФ).</w:t>
      </w:r>
    </w:p>
    <w:p w14:paraId="653B6C74" w14:textId="77777777" w:rsidR="000F6F01" w:rsidRDefault="000F6F01" w:rsidP="00511738">
      <w:pPr>
        <w:pBdr>
          <w:bottom w:val="double" w:sz="6" w:space="1" w:color="auto"/>
        </w:pBdr>
        <w:spacing w:after="0" w:line="240" w:lineRule="auto"/>
        <w:jc w:val="both"/>
      </w:pPr>
      <w:r>
        <w:rPr>
          <w:rFonts w:ascii="Calibri" w:hAnsi="Calibri" w:cs="Calibri"/>
        </w:rPr>
        <w:t>Учтите, что включение в договор условия о прекращении обязательств не освободит стороны от ответственности за нарушения, совершенные в период действия договора (</w:t>
      </w:r>
      <w:hyperlink r:id="rId28">
        <w:r>
          <w:rPr>
            <w:rFonts w:ascii="Calibri" w:hAnsi="Calibri" w:cs="Calibri"/>
            <w:color w:val="0000FF"/>
          </w:rPr>
          <w:t>п. 4 ст. 425</w:t>
        </w:r>
      </w:hyperlink>
      <w:r>
        <w:rPr>
          <w:rFonts w:ascii="Calibri" w:hAnsi="Calibri" w:cs="Calibri"/>
        </w:rPr>
        <w:t xml:space="preserve"> ГК РФ), а также, если специально не оговорить иное, не прекратит такие обязательства, которые в силу своей природы предполагают их исполнение и после окончания срока действия договора (например, арбитражная оговорка, условие о сроке и порядке возврата излишней суммы аванса).</w:t>
      </w:r>
    </w:p>
    <w:p w14:paraId="636036C4" w14:textId="77777777" w:rsidR="00511738" w:rsidRDefault="00511738" w:rsidP="00511738">
      <w:pPr>
        <w:spacing w:after="0" w:line="240" w:lineRule="auto"/>
      </w:pPr>
    </w:p>
    <w:sectPr w:rsidR="00511738" w:rsidSect="008C3992">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0647"/>
    <w:rsid w:val="000F6F01"/>
    <w:rsid w:val="00430647"/>
    <w:rsid w:val="00511738"/>
    <w:rsid w:val="008033BA"/>
    <w:rsid w:val="008C3992"/>
    <w:rsid w:val="008D38AF"/>
    <w:rsid w:val="00B94F67"/>
    <w:rsid w:val="00C361F9"/>
    <w:rsid w:val="00CB40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3D28AF"/>
  <w15:chartTrackingRefBased/>
  <w15:docId w15:val="{B04DB33E-4D6B-426D-A195-4D502E94A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30647"/>
    <w:pPr>
      <w:widowControl w:val="0"/>
      <w:autoSpaceDE w:val="0"/>
      <w:autoSpaceDN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8033BA"/>
    <w:rPr>
      <w:color w:val="0000FF"/>
      <w:u w:val="single"/>
    </w:rPr>
  </w:style>
  <w:style w:type="character" w:styleId="a4">
    <w:name w:val="Unresolved Mention"/>
    <w:basedOn w:val="a0"/>
    <w:uiPriority w:val="99"/>
    <w:semiHidden/>
    <w:unhideWhenUsed/>
    <w:rsid w:val="008C39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124399">
      <w:bodyDiv w:val="1"/>
      <w:marLeft w:val="0"/>
      <w:marRight w:val="0"/>
      <w:marTop w:val="0"/>
      <w:marBottom w:val="0"/>
      <w:divBdr>
        <w:top w:val="none" w:sz="0" w:space="0" w:color="auto"/>
        <w:left w:val="none" w:sz="0" w:space="0" w:color="auto"/>
        <w:bottom w:val="none" w:sz="0" w:space="0" w:color="auto"/>
        <w:right w:val="none" w:sz="0" w:space="0" w:color="auto"/>
      </w:divBdr>
    </w:div>
    <w:div w:id="1501383855">
      <w:bodyDiv w:val="1"/>
      <w:marLeft w:val="0"/>
      <w:marRight w:val="0"/>
      <w:marTop w:val="0"/>
      <w:marBottom w:val="0"/>
      <w:divBdr>
        <w:top w:val="none" w:sz="0" w:space="0" w:color="auto"/>
        <w:left w:val="none" w:sz="0" w:space="0" w:color="auto"/>
        <w:bottom w:val="none" w:sz="0" w:space="0" w:color="auto"/>
        <w:right w:val="none" w:sz="0" w:space="0" w:color="auto"/>
      </w:divBdr>
    </w:div>
    <w:div w:id="2094427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QSBO&amp;n=20463&amp;dst=100012" TargetMode="External"/><Relationship Id="rId13" Type="http://schemas.openxmlformats.org/officeDocument/2006/relationships/hyperlink" Target="https://login.consultant.ru/link/?req=doc&amp;base=LAW&amp;n=482692&amp;dst=102052" TargetMode="External"/><Relationship Id="rId18" Type="http://schemas.openxmlformats.org/officeDocument/2006/relationships/hyperlink" Target="https://login.consultant.ru/link/?req=doc&amp;base=LAW&amp;n=110207&amp;dst=102052" TargetMode="External"/><Relationship Id="rId26" Type="http://schemas.openxmlformats.org/officeDocument/2006/relationships/hyperlink" Target="https://login.consultant.ru/link/?req=doc&amp;base=CJI&amp;n=148560&amp;dst=100091" TargetMode="External"/><Relationship Id="rId3" Type="http://schemas.openxmlformats.org/officeDocument/2006/relationships/webSettings" Target="webSettings.xml"/><Relationship Id="rId21" Type="http://schemas.openxmlformats.org/officeDocument/2006/relationships/hyperlink" Target="https://login.consultant.ru/link/?req=doc&amp;base=LAW&amp;n=116787&amp;dst=101882" TargetMode="External"/><Relationship Id="rId7" Type="http://schemas.openxmlformats.org/officeDocument/2006/relationships/hyperlink" Target="https://login.consultant.ru/link/?req=doc&amp;base=LAW&amp;n=340325" TargetMode="External"/><Relationship Id="rId12" Type="http://schemas.openxmlformats.org/officeDocument/2006/relationships/hyperlink" Target="https://login.consultant.ru/link/?req=doc&amp;base=LAW&amp;n=482692&amp;dst=102048" TargetMode="External"/><Relationship Id="rId17" Type="http://schemas.openxmlformats.org/officeDocument/2006/relationships/hyperlink" Target="https://login.consultant.ru/link/?req=doc&amp;base=LAW&amp;n=110207&amp;dst=102048" TargetMode="External"/><Relationship Id="rId25" Type="http://schemas.openxmlformats.org/officeDocument/2006/relationships/hyperlink" Target="https://login.consultant.ru/link/?req=doc&amp;base=GRKPP&amp;n=87&amp;dst=100114" TargetMode="External"/><Relationship Id="rId2" Type="http://schemas.openxmlformats.org/officeDocument/2006/relationships/settings" Target="settings.xml"/><Relationship Id="rId16" Type="http://schemas.openxmlformats.org/officeDocument/2006/relationships/hyperlink" Target="https://login.consultant.ru/link/?req=doc&amp;base=AVS&amp;n=67453" TargetMode="External"/><Relationship Id="rId20" Type="http://schemas.openxmlformats.org/officeDocument/2006/relationships/hyperlink" Target="https://login.consultant.ru/link/?req=doc&amp;base=LAW&amp;n=110207&amp;dst=102071" TargetMode="External"/><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login.consultant.ru/link/?req=doc&amp;base=LAW&amp;n=330785&amp;dst=100024" TargetMode="External"/><Relationship Id="rId11" Type="http://schemas.openxmlformats.org/officeDocument/2006/relationships/hyperlink" Target="https://login.consultant.ru/link/?req=doc&amp;base=ASSZ&amp;n=2668457&amp;date=13.01.2025&amp;dst=100022&amp;field=134" TargetMode="External"/><Relationship Id="rId24" Type="http://schemas.openxmlformats.org/officeDocument/2006/relationships/hyperlink" Target="https://login.consultant.ru/link/?req=doc&amp;base=LAW&amp;n=449455&amp;dst=100273" TargetMode="External"/><Relationship Id="rId5" Type="http://schemas.openxmlformats.org/officeDocument/2006/relationships/hyperlink" Target="https://login.consultant.ru/link/?req=doc&amp;base=QSBO&amp;n=15351&amp;dst=100009" TargetMode="External"/><Relationship Id="rId15" Type="http://schemas.openxmlformats.org/officeDocument/2006/relationships/hyperlink" Target="https://login.consultant.ru/link/?req=doc&amp;base=LAW&amp;n=482692&amp;dst=102071" TargetMode="External"/><Relationship Id="rId23" Type="http://schemas.openxmlformats.org/officeDocument/2006/relationships/hyperlink" Target="https://login.consultant.ru/link/?req=doc&amp;base=GRKPP&amp;n=103&amp;dst=100076" TargetMode="External"/><Relationship Id="rId28" Type="http://schemas.openxmlformats.org/officeDocument/2006/relationships/hyperlink" Target="https://login.consultant.ru/link/?req=doc&amp;base=LAW&amp;n=482692&amp;dst=102014" TargetMode="External"/><Relationship Id="rId10" Type="http://schemas.openxmlformats.org/officeDocument/2006/relationships/hyperlink" Target="https://login.consultant.ru/link/?req=doc&amp;base=LAW&amp;n=471848&amp;date=13.01.2025&amp;dst=102009&amp;field=134" TargetMode="External"/><Relationship Id="rId19" Type="http://schemas.openxmlformats.org/officeDocument/2006/relationships/hyperlink" Target="https://login.consultant.ru/link/?req=doc&amp;base=LAW&amp;n=110207&amp;dst=102061" TargetMode="External"/><Relationship Id="rId4" Type="http://schemas.openxmlformats.org/officeDocument/2006/relationships/hyperlink" Target="https://login.consultant.ru/link/?req=doc&amp;base=LAW&amp;n=196379" TargetMode="External"/><Relationship Id="rId9" Type="http://schemas.openxmlformats.org/officeDocument/2006/relationships/hyperlink" Target="https://login.consultant.ru/link/?req=doc&amp;base=LAW&amp;n=471848&amp;date=13.01.2025&amp;dst=102009&amp;field=134" TargetMode="External"/><Relationship Id="rId14" Type="http://schemas.openxmlformats.org/officeDocument/2006/relationships/hyperlink" Target="https://login.consultant.ru/link/?req=doc&amp;base=LAW&amp;n=482692&amp;dst=102061" TargetMode="External"/><Relationship Id="rId22" Type="http://schemas.openxmlformats.org/officeDocument/2006/relationships/hyperlink" Target="https://login.consultant.ru/link/?req=doc&amp;base=PSP&amp;n=136&amp;dst=100001" TargetMode="External"/><Relationship Id="rId27" Type="http://schemas.openxmlformats.org/officeDocument/2006/relationships/hyperlink" Target="https://login.consultant.ru/link/?req=doc&amp;base=LAW&amp;n=482692&amp;dst=102012"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313</TotalTime>
  <Pages>3</Pages>
  <Words>1664</Words>
  <Characters>9489</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hline10</dc:creator>
  <cp:keywords/>
  <dc:description/>
  <cp:lastModifiedBy>hline10</cp:lastModifiedBy>
  <cp:revision>2</cp:revision>
  <dcterms:created xsi:type="dcterms:W3CDTF">2025-01-10T05:02:00Z</dcterms:created>
  <dcterms:modified xsi:type="dcterms:W3CDTF">2025-01-13T06:46:00Z</dcterms:modified>
</cp:coreProperties>
</file>