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AE6" w:rsidRDefault="00C22AE6" w:rsidP="00503822">
      <w:pPr>
        <w:pStyle w:val="ConsPlusNormal"/>
        <w:jc w:val="both"/>
      </w:pPr>
      <w:r>
        <w:t>Материал предоставлен ООО «</w:t>
      </w:r>
      <w:proofErr w:type="spellStart"/>
      <w:r>
        <w:t>КонсультантПлюс</w:t>
      </w:r>
      <w:proofErr w:type="spellEnd"/>
      <w:r>
        <w:t xml:space="preserve"> Югра».</w:t>
      </w:r>
    </w:p>
    <w:p w:rsidR="00C22AE6" w:rsidRDefault="00C22AE6" w:rsidP="00503822">
      <w:pPr>
        <w:pStyle w:val="ConsPlusNormal"/>
      </w:pPr>
      <w:r>
        <w:t>Услуга оказывается в соответствии с регламентом Линии консультаций:</w:t>
      </w:r>
      <w:r>
        <w:rPr>
          <w:b/>
        </w:rPr>
        <w:t xml:space="preserve"> </w:t>
      </w:r>
      <w:hyperlink r:id="rId5" w:history="1">
        <w:r>
          <w:rPr>
            <w:rStyle w:val="a3"/>
            <w:b/>
          </w:rPr>
          <w:t>http://consultantugra.ru/klientam/goryachaya-liniya/reglament-linii-konsultacij/</w:t>
        </w:r>
      </w:hyperlink>
    </w:p>
    <w:tbl>
      <w:tblPr>
        <w:tblW w:w="11366"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1366"/>
      </w:tblGrid>
      <w:tr w:rsidR="00C22AE6" w:rsidTr="006C5738">
        <w:trPr>
          <w:jc w:val="center"/>
        </w:trPr>
        <w:tc>
          <w:tcPr>
            <w:tcW w:w="11366" w:type="dxa"/>
            <w:tcBorders>
              <w:top w:val="nil"/>
              <w:left w:val="single" w:sz="24" w:space="0" w:color="CED3F1"/>
              <w:bottom w:val="nil"/>
              <w:right w:val="single" w:sz="24" w:space="0" w:color="F4F3F8"/>
            </w:tcBorders>
            <w:shd w:val="clear" w:color="auto" w:fill="F4F3F8"/>
            <w:hideMark/>
          </w:tcPr>
          <w:p w:rsidR="00C22AE6" w:rsidRDefault="00C22AE6" w:rsidP="00503822">
            <w:pPr>
              <w:pStyle w:val="ConsPlusNormal"/>
              <w:spacing w:line="256" w:lineRule="auto"/>
              <w:jc w:val="right"/>
              <w:rPr>
                <w:lang w:eastAsia="en-US"/>
              </w:rPr>
            </w:pPr>
            <w:r>
              <w:rPr>
                <w:color w:val="392C69"/>
                <w:lang w:eastAsia="en-US"/>
              </w:rPr>
              <w:t>Актуально на 13.11.2024 г.</w:t>
            </w:r>
          </w:p>
        </w:tc>
      </w:tr>
    </w:tbl>
    <w:p w:rsidR="00C22AE6" w:rsidRDefault="00C22AE6" w:rsidP="00503822">
      <w:pPr>
        <w:pStyle w:val="ConsPlusNormal"/>
        <w:ind w:firstLine="567"/>
      </w:pPr>
      <w:r>
        <w:rPr>
          <w:b/>
          <w:sz w:val="38"/>
        </w:rPr>
        <w:t>По вопросу:</w:t>
      </w:r>
    </w:p>
    <w:p w:rsidR="001D2FE2" w:rsidRDefault="00FD11BC" w:rsidP="00503822">
      <w:pPr>
        <w:spacing w:after="0" w:line="220" w:lineRule="auto"/>
        <w:ind w:firstLine="567"/>
        <w:jc w:val="both"/>
      </w:pPr>
      <w:r>
        <w:t>У</w:t>
      </w:r>
      <w:r w:rsidR="001D2FE2">
        <w:t>чредитель в единственном числе, уставной капитал 10 000 руб., владеет бизнесом более пяти лет, хочет продать бизнес за 20 000 000 руб. На балансе числится пара транспортных средств</w:t>
      </w:r>
      <w:bookmarkStart w:id="0" w:name="_GoBack"/>
      <w:bookmarkEnd w:id="0"/>
      <w:r w:rsidR="001D2FE2">
        <w:t>, денежные средства на расчетном счете в сумме 20 000 000 руб.</w:t>
      </w:r>
    </w:p>
    <w:p w:rsidR="00C22AE6" w:rsidRDefault="001D2FE2" w:rsidP="00503822">
      <w:pPr>
        <w:spacing w:after="0" w:line="220" w:lineRule="auto"/>
        <w:ind w:firstLine="567"/>
        <w:jc w:val="both"/>
      </w:pPr>
      <w:r>
        <w:t>Какие существуют налоговые риски? Какие бух проводки будут при п</w:t>
      </w:r>
      <w:r w:rsidR="00E6230A">
        <w:t>окупке новым физ. лицом бизнеса</w:t>
      </w:r>
      <w:r>
        <w:t>?</w:t>
      </w:r>
    </w:p>
    <w:p w:rsidR="00C22AE6" w:rsidRDefault="00C22AE6" w:rsidP="00503822">
      <w:pPr>
        <w:spacing w:after="0" w:line="220" w:lineRule="auto"/>
        <w:ind w:firstLine="567"/>
        <w:jc w:val="both"/>
        <w:rPr>
          <w:b/>
          <w:sz w:val="38"/>
        </w:rPr>
      </w:pPr>
      <w:r>
        <w:rPr>
          <w:b/>
          <w:sz w:val="38"/>
        </w:rPr>
        <w:t>Сообщаем:</w:t>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C22AE6" w:rsidTr="006C5738">
        <w:tc>
          <w:tcPr>
            <w:tcW w:w="11340" w:type="dxa"/>
            <w:tcBorders>
              <w:top w:val="nil"/>
              <w:left w:val="single" w:sz="24" w:space="0" w:color="FE9500"/>
              <w:bottom w:val="nil"/>
              <w:right w:val="nil"/>
            </w:tcBorders>
            <w:shd w:val="clear" w:color="auto" w:fill="F2F4E6"/>
          </w:tcPr>
          <w:p w:rsidR="001D2FE2" w:rsidRDefault="001D2FE2" w:rsidP="00503822">
            <w:pPr>
              <w:spacing w:after="0" w:line="220" w:lineRule="auto"/>
              <w:jc w:val="center"/>
              <w:outlineLvl w:val="0"/>
            </w:pPr>
            <w:r>
              <w:rPr>
                <w:rFonts w:ascii="Calibri" w:hAnsi="Calibri" w:cs="Calibri"/>
                <w:b/>
              </w:rPr>
              <w:t>Продажа доли в ООО</w:t>
            </w:r>
          </w:p>
          <w:p w:rsidR="001D2FE2" w:rsidRDefault="001D2FE2" w:rsidP="00503822">
            <w:pPr>
              <w:spacing w:after="0" w:line="220" w:lineRule="auto"/>
              <w:jc w:val="both"/>
            </w:pPr>
          </w:p>
          <w:p w:rsidR="001D2FE2" w:rsidRPr="001D2FE2" w:rsidRDefault="001D2FE2" w:rsidP="00503822">
            <w:pPr>
              <w:spacing w:after="0" w:line="220" w:lineRule="auto"/>
              <w:ind w:firstLine="540"/>
              <w:jc w:val="both"/>
              <w:rPr>
                <w:b/>
              </w:rPr>
            </w:pPr>
            <w:r>
              <w:rPr>
                <w:rFonts w:ascii="Calibri" w:hAnsi="Calibri" w:cs="Calibri"/>
              </w:rPr>
              <w:t xml:space="preserve">Считаем, что имеющаяся в </w:t>
            </w:r>
            <w:hyperlink r:id="rId6">
              <w:proofErr w:type="spellStart"/>
              <w:r>
                <w:rPr>
                  <w:rFonts w:ascii="Calibri" w:hAnsi="Calibri" w:cs="Calibri"/>
                  <w:color w:val="0000FF"/>
                </w:rPr>
                <w:t>абз</w:t>
              </w:r>
              <w:proofErr w:type="spellEnd"/>
              <w:r>
                <w:rPr>
                  <w:rFonts w:ascii="Calibri" w:hAnsi="Calibri" w:cs="Calibri"/>
                  <w:color w:val="0000FF"/>
                </w:rPr>
                <w:t>. 1 п. 17.2 ст. 217</w:t>
              </w:r>
            </w:hyperlink>
            <w:r>
              <w:rPr>
                <w:rFonts w:ascii="Calibri" w:hAnsi="Calibri" w:cs="Calibri"/>
              </w:rPr>
              <w:t xml:space="preserve"> НК РФ отсылка к </w:t>
            </w:r>
            <w:hyperlink r:id="rId7">
              <w:r>
                <w:rPr>
                  <w:rFonts w:ascii="Calibri" w:hAnsi="Calibri" w:cs="Calibri"/>
                  <w:color w:val="0000FF"/>
                </w:rPr>
                <w:t>п. 2 ст. 284.2</w:t>
              </w:r>
            </w:hyperlink>
            <w:r>
              <w:rPr>
                <w:rFonts w:ascii="Calibri" w:hAnsi="Calibri" w:cs="Calibri"/>
              </w:rPr>
              <w:t xml:space="preserve"> НК РФ относится только к акциям (и не касается долей участия в уставном капитале российской организации). Подтверждение этому можно найти в Письмах Минфина России от 29.12.2022 </w:t>
            </w:r>
            <w:hyperlink r:id="rId8">
              <w:r>
                <w:rPr>
                  <w:rFonts w:ascii="Calibri" w:hAnsi="Calibri" w:cs="Calibri"/>
                  <w:color w:val="0000FF"/>
                </w:rPr>
                <w:t>N 03-04-05/129409</w:t>
              </w:r>
            </w:hyperlink>
            <w:r>
              <w:rPr>
                <w:rFonts w:ascii="Calibri" w:hAnsi="Calibri" w:cs="Calibri"/>
              </w:rPr>
              <w:t xml:space="preserve">, от 14.12.2022 </w:t>
            </w:r>
            <w:hyperlink r:id="rId9">
              <w:r>
                <w:rPr>
                  <w:rFonts w:ascii="Calibri" w:hAnsi="Calibri" w:cs="Calibri"/>
                  <w:color w:val="0000FF"/>
                </w:rPr>
                <w:t>N 03-04-05/122677</w:t>
              </w:r>
            </w:hyperlink>
            <w:r>
              <w:rPr>
                <w:rFonts w:ascii="Calibri" w:hAnsi="Calibri" w:cs="Calibri"/>
              </w:rPr>
              <w:t xml:space="preserve">, от 12.10.2022 </w:t>
            </w:r>
            <w:hyperlink r:id="rId10">
              <w:r>
                <w:rPr>
                  <w:rFonts w:ascii="Calibri" w:hAnsi="Calibri" w:cs="Calibri"/>
                  <w:color w:val="0000FF"/>
                </w:rPr>
                <w:t>N 03-04-05/98648</w:t>
              </w:r>
            </w:hyperlink>
            <w:r>
              <w:rPr>
                <w:rFonts w:ascii="Calibri" w:hAnsi="Calibri" w:cs="Calibri"/>
              </w:rPr>
              <w:t xml:space="preserve">, от 15.09.2022 </w:t>
            </w:r>
            <w:hyperlink r:id="rId11">
              <w:r>
                <w:rPr>
                  <w:rFonts w:ascii="Calibri" w:hAnsi="Calibri" w:cs="Calibri"/>
                  <w:color w:val="0000FF"/>
                </w:rPr>
                <w:t>N 03-04-06/89360</w:t>
              </w:r>
            </w:hyperlink>
            <w:r>
              <w:rPr>
                <w:rFonts w:ascii="Calibri" w:hAnsi="Calibri" w:cs="Calibri"/>
              </w:rPr>
              <w:t xml:space="preserve">, от 13.09.2022 </w:t>
            </w:r>
            <w:hyperlink r:id="rId12">
              <w:r>
                <w:rPr>
                  <w:rFonts w:ascii="Calibri" w:hAnsi="Calibri" w:cs="Calibri"/>
                  <w:color w:val="0000FF"/>
                </w:rPr>
                <w:t>N 03-04-06/88777</w:t>
              </w:r>
            </w:hyperlink>
            <w:r>
              <w:rPr>
                <w:rFonts w:ascii="Calibri" w:hAnsi="Calibri" w:cs="Calibri"/>
              </w:rPr>
              <w:t xml:space="preserve">, от 17.08.2022 </w:t>
            </w:r>
            <w:hyperlink r:id="rId13">
              <w:r>
                <w:rPr>
                  <w:rFonts w:ascii="Calibri" w:hAnsi="Calibri" w:cs="Calibri"/>
                  <w:color w:val="0000FF"/>
                </w:rPr>
                <w:t>N 03-04-06/80175</w:t>
              </w:r>
            </w:hyperlink>
            <w:r>
              <w:rPr>
                <w:rFonts w:ascii="Calibri" w:hAnsi="Calibri" w:cs="Calibri"/>
              </w:rPr>
              <w:t xml:space="preserve">. Финансисты исходят из того, что </w:t>
            </w:r>
            <w:r w:rsidRPr="001D2FE2">
              <w:rPr>
                <w:rFonts w:ascii="Calibri" w:hAnsi="Calibri" w:cs="Calibri"/>
                <w:b/>
              </w:rPr>
              <w:t xml:space="preserve">на основании </w:t>
            </w:r>
            <w:hyperlink r:id="rId14">
              <w:r w:rsidRPr="001D2FE2">
                <w:rPr>
                  <w:rFonts w:ascii="Calibri" w:hAnsi="Calibri" w:cs="Calibri"/>
                  <w:b/>
                  <w:color w:val="0000FF"/>
                </w:rPr>
                <w:t>п. 17.2 ст. 217</w:t>
              </w:r>
            </w:hyperlink>
            <w:r w:rsidRPr="001D2FE2">
              <w:rPr>
                <w:rFonts w:ascii="Calibri" w:hAnsi="Calibri" w:cs="Calibri"/>
                <w:b/>
              </w:rPr>
              <w:t xml:space="preserve"> НК РФ не подлежат обложению НДФЛ доходы, в частности, получаемые от реализации долей участия в уставном капитале российских организаций, при условии, что на дату реализации таких долей они непрерывно принадлежали налогоплательщику на праве собственности или ином вещном праве более пяти лет.</w:t>
            </w:r>
          </w:p>
          <w:p w:rsidR="001D2FE2" w:rsidRPr="001D2FE2" w:rsidRDefault="001D2FE2" w:rsidP="00503822">
            <w:pPr>
              <w:spacing w:after="0" w:line="220" w:lineRule="auto"/>
              <w:ind w:firstLine="540"/>
              <w:jc w:val="both"/>
              <w:rPr>
                <w:b/>
              </w:rPr>
            </w:pPr>
            <w:r w:rsidRPr="001D2FE2">
              <w:rPr>
                <w:rFonts w:ascii="Calibri" w:hAnsi="Calibri" w:cs="Calibri"/>
                <w:b/>
              </w:rPr>
              <w:t xml:space="preserve">Таким образом, при соблюдении установленных законодательством РФ о налогах и сборах условий доходы, получаемые от отчуждения доли участия в уставном капитале российской организации, не облагаются НДФЛ. Если условия, определенные указанным </w:t>
            </w:r>
            <w:hyperlink r:id="rId15">
              <w:r w:rsidRPr="001D2FE2">
                <w:rPr>
                  <w:rFonts w:ascii="Calibri" w:hAnsi="Calibri" w:cs="Calibri"/>
                  <w:b/>
                  <w:color w:val="0000FF"/>
                </w:rPr>
                <w:t>пунктом</w:t>
              </w:r>
            </w:hyperlink>
            <w:r w:rsidRPr="001D2FE2">
              <w:rPr>
                <w:rFonts w:ascii="Calibri" w:hAnsi="Calibri" w:cs="Calibri"/>
                <w:b/>
              </w:rPr>
              <w:t xml:space="preserve">, не выполняются, то доход от реализации доли участия в уставном капитале российской организации подлежит налогообложению в порядке, предусмотренном </w:t>
            </w:r>
            <w:hyperlink r:id="rId16">
              <w:r w:rsidRPr="001D2FE2">
                <w:rPr>
                  <w:rFonts w:ascii="Calibri" w:hAnsi="Calibri" w:cs="Calibri"/>
                  <w:b/>
                  <w:color w:val="0000FF"/>
                </w:rPr>
                <w:t>гл. 23</w:t>
              </w:r>
            </w:hyperlink>
            <w:r w:rsidRPr="001D2FE2">
              <w:rPr>
                <w:rFonts w:ascii="Calibri" w:hAnsi="Calibri" w:cs="Calibri"/>
                <w:b/>
              </w:rPr>
              <w:t xml:space="preserve"> НК РФ (</w:t>
            </w:r>
            <w:hyperlink r:id="rId17">
              <w:r w:rsidRPr="001D2FE2">
                <w:rPr>
                  <w:rFonts w:ascii="Calibri" w:hAnsi="Calibri" w:cs="Calibri"/>
                  <w:b/>
                  <w:color w:val="0000FF"/>
                </w:rPr>
                <w:t>Письмо</w:t>
              </w:r>
            </w:hyperlink>
            <w:r w:rsidRPr="001D2FE2">
              <w:rPr>
                <w:rFonts w:ascii="Calibri" w:hAnsi="Calibri" w:cs="Calibri"/>
                <w:b/>
              </w:rPr>
              <w:t xml:space="preserve"> Минфина России от 31.03.2022 N 03-04-05/26280).</w:t>
            </w:r>
          </w:p>
          <w:p w:rsidR="001D2FE2" w:rsidRDefault="001D2FE2" w:rsidP="00503822">
            <w:pPr>
              <w:spacing w:after="0" w:line="220" w:lineRule="auto"/>
              <w:jc w:val="both"/>
            </w:pPr>
          </w:p>
          <w:p w:rsidR="001D2FE2" w:rsidRDefault="001D2FE2" w:rsidP="00503822">
            <w:pPr>
              <w:spacing w:after="0" w:line="220" w:lineRule="auto"/>
              <w:jc w:val="center"/>
              <w:outlineLvl w:val="0"/>
            </w:pPr>
            <w:r>
              <w:rPr>
                <w:rFonts w:ascii="Calibri" w:hAnsi="Calibri" w:cs="Calibri"/>
                <w:b/>
              </w:rPr>
              <w:t>Вывод</w:t>
            </w:r>
          </w:p>
          <w:p w:rsidR="001D2FE2" w:rsidRDefault="001D2FE2" w:rsidP="00503822">
            <w:pPr>
              <w:spacing w:after="0" w:line="220" w:lineRule="auto"/>
              <w:jc w:val="both"/>
            </w:pPr>
          </w:p>
          <w:p w:rsidR="00C22AE6" w:rsidRPr="00F936F8" w:rsidRDefault="001D2FE2" w:rsidP="00503822">
            <w:pPr>
              <w:spacing w:after="0" w:line="220" w:lineRule="auto"/>
              <w:ind w:firstLine="540"/>
              <w:jc w:val="both"/>
              <w:rPr>
                <w:b/>
              </w:rPr>
            </w:pPr>
            <w:r w:rsidRPr="001D2FE2">
              <w:rPr>
                <w:rFonts w:ascii="Calibri" w:hAnsi="Calibri" w:cs="Calibri"/>
                <w:b/>
              </w:rPr>
              <w:t xml:space="preserve">Доходы физического лица от реализации доли в уставном капитале ООО освобождаются от обложения НДФЛ, если период непрерывного владения этой долей превышает пять лет. </w:t>
            </w:r>
            <w:r w:rsidRPr="001D2FE2">
              <w:rPr>
                <w:rFonts w:ascii="Calibri" w:hAnsi="Calibri" w:cs="Calibri"/>
                <w:b/>
                <w:u w:val="single"/>
              </w:rPr>
              <w:t>Освобождение применяется и в том случае, если доля продается по цене, превышающей ее номинальную стоимость (выше стоимости приобретения).</w:t>
            </w:r>
          </w:p>
        </w:tc>
      </w:tr>
    </w:tbl>
    <w:p w:rsidR="001D2FE2" w:rsidRPr="001D2FE2" w:rsidRDefault="00C22AE6" w:rsidP="00503822">
      <w:pPr>
        <w:spacing w:after="0" w:line="220" w:lineRule="auto"/>
        <w:ind w:firstLine="567"/>
        <w:rPr>
          <w:sz w:val="18"/>
          <w:szCs w:val="18"/>
        </w:rPr>
      </w:pPr>
      <w:r>
        <w:rPr>
          <w:b/>
        </w:rPr>
        <w:t xml:space="preserve"> Источник:</w:t>
      </w:r>
      <w:r>
        <w:t xml:space="preserve"> </w:t>
      </w:r>
      <w:hyperlink r:id="rId18">
        <w:r w:rsidR="001D2FE2" w:rsidRPr="001D2FE2">
          <w:rPr>
            <w:rFonts w:ascii="Calibri" w:hAnsi="Calibri" w:cs="Calibri"/>
            <w:i/>
            <w:color w:val="0000FF"/>
            <w:sz w:val="18"/>
            <w:szCs w:val="18"/>
          </w:rPr>
          <w:br/>
          <w:t>Статья: Продажа физическим лицом долей участия в ООО и акций: НДФЛ (</w:t>
        </w:r>
        <w:proofErr w:type="spellStart"/>
        <w:r w:rsidR="001D2FE2" w:rsidRPr="001D2FE2">
          <w:rPr>
            <w:rFonts w:ascii="Calibri" w:hAnsi="Calibri" w:cs="Calibri"/>
            <w:i/>
            <w:color w:val="0000FF"/>
            <w:sz w:val="18"/>
            <w:szCs w:val="18"/>
          </w:rPr>
          <w:t>Габелли</w:t>
        </w:r>
        <w:proofErr w:type="spellEnd"/>
        <w:r w:rsidR="001D2FE2" w:rsidRPr="001D2FE2">
          <w:rPr>
            <w:rFonts w:ascii="Calibri" w:hAnsi="Calibri" w:cs="Calibri"/>
            <w:i/>
            <w:color w:val="0000FF"/>
            <w:sz w:val="18"/>
            <w:szCs w:val="18"/>
          </w:rPr>
          <w:t xml:space="preserve"> Г.К.) ("Жилищно-коммунальное хозяйство: бухгалтерский учет и налогообложение", 2023, N 5) {</w:t>
        </w:r>
        <w:proofErr w:type="spellStart"/>
        <w:r w:rsidR="001D2FE2" w:rsidRPr="001D2FE2">
          <w:rPr>
            <w:rFonts w:ascii="Calibri" w:hAnsi="Calibri" w:cs="Calibri"/>
            <w:i/>
            <w:color w:val="0000FF"/>
            <w:sz w:val="18"/>
            <w:szCs w:val="18"/>
          </w:rPr>
          <w:t>КонсультантПлюс</w:t>
        </w:r>
        <w:proofErr w:type="spellEnd"/>
        <w:r w:rsidR="001D2FE2" w:rsidRPr="001D2FE2">
          <w:rPr>
            <w:rFonts w:ascii="Calibri" w:hAnsi="Calibri" w:cs="Calibri"/>
            <w:i/>
            <w:color w:val="0000FF"/>
            <w:sz w:val="18"/>
            <w:szCs w:val="18"/>
          </w:rPr>
          <w:t>}</w:t>
        </w:r>
      </w:hyperlink>
      <w:r w:rsidR="001D2FE2" w:rsidRPr="001D2FE2">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C22AE6" w:rsidTr="006C5738">
        <w:tc>
          <w:tcPr>
            <w:tcW w:w="11340" w:type="dxa"/>
            <w:tcBorders>
              <w:top w:val="nil"/>
              <w:left w:val="single" w:sz="24" w:space="0" w:color="FE9500"/>
              <w:bottom w:val="nil"/>
              <w:right w:val="nil"/>
            </w:tcBorders>
            <w:shd w:val="clear" w:color="auto" w:fill="F2F4E6"/>
          </w:tcPr>
          <w:p w:rsidR="00FD11BC" w:rsidRDefault="00FD11BC" w:rsidP="00FD11BC">
            <w:pPr>
              <w:spacing w:after="0" w:line="220" w:lineRule="auto"/>
              <w:ind w:firstLine="525"/>
            </w:pPr>
            <w:r>
              <w:rPr>
                <w:rFonts w:ascii="Calibri" w:hAnsi="Calibri" w:cs="Calibri"/>
                <w:b/>
                <w:sz w:val="38"/>
              </w:rPr>
              <w:t>Позиции судов по спорным вопросам:</w:t>
            </w:r>
            <w:r>
              <w:rPr>
                <w:rFonts w:ascii="Calibri" w:hAnsi="Calibri" w:cs="Calibri"/>
                <w:b/>
                <w:sz w:val="38"/>
              </w:rPr>
              <w:br/>
              <w:t>Цена и оплата доли в ООО при продаже</w:t>
            </w:r>
          </w:p>
          <w:p w:rsidR="00FD11BC" w:rsidRDefault="00FD11BC" w:rsidP="00FD11BC">
            <w:pPr>
              <w:spacing w:after="0" w:line="220" w:lineRule="auto"/>
              <w:ind w:firstLine="525"/>
              <w:jc w:val="both"/>
            </w:pPr>
            <w:r>
              <w:rPr>
                <w:rFonts w:ascii="Calibri" w:hAnsi="Calibri" w:cs="Calibri"/>
              </w:rPr>
              <w:t xml:space="preserve">Применимые нормы: </w:t>
            </w:r>
            <w:hyperlink r:id="rId19">
              <w:r>
                <w:rPr>
                  <w:rFonts w:ascii="Calibri" w:hAnsi="Calibri" w:cs="Calibri"/>
                  <w:color w:val="0000FF"/>
                </w:rPr>
                <w:t>п. 1 ст. 454</w:t>
              </w:r>
            </w:hyperlink>
            <w:r>
              <w:rPr>
                <w:rFonts w:ascii="Calibri" w:hAnsi="Calibri" w:cs="Calibri"/>
              </w:rPr>
              <w:t xml:space="preserve">, </w:t>
            </w:r>
            <w:hyperlink r:id="rId20">
              <w:r>
                <w:rPr>
                  <w:rFonts w:ascii="Calibri" w:hAnsi="Calibri" w:cs="Calibri"/>
                  <w:color w:val="0000FF"/>
                </w:rPr>
                <w:t>ст. 485</w:t>
              </w:r>
            </w:hyperlink>
            <w:r>
              <w:rPr>
                <w:rFonts w:ascii="Calibri" w:hAnsi="Calibri" w:cs="Calibri"/>
              </w:rPr>
              <w:t xml:space="preserve"> ГК РФ, </w:t>
            </w:r>
            <w:hyperlink r:id="rId21">
              <w:r>
                <w:rPr>
                  <w:rFonts w:ascii="Calibri" w:hAnsi="Calibri" w:cs="Calibri"/>
                  <w:color w:val="0000FF"/>
                </w:rPr>
                <w:t>п. 4 ст. 21</w:t>
              </w:r>
            </w:hyperlink>
            <w:r>
              <w:rPr>
                <w:rFonts w:ascii="Calibri" w:hAnsi="Calibri" w:cs="Calibri"/>
              </w:rPr>
              <w:t xml:space="preserve"> Закона об ООО</w:t>
            </w:r>
          </w:p>
          <w:p w:rsidR="00FD11BC" w:rsidRDefault="00FD11BC" w:rsidP="00FD11BC">
            <w:pPr>
              <w:spacing w:after="0" w:line="220" w:lineRule="auto"/>
              <w:ind w:firstLine="525"/>
            </w:pPr>
          </w:p>
          <w:p w:rsidR="00FD11BC" w:rsidRDefault="00FD11BC" w:rsidP="00FD11BC">
            <w:pPr>
              <w:spacing w:after="0" w:line="220" w:lineRule="auto"/>
              <w:ind w:firstLine="525"/>
            </w:pPr>
            <w:r>
              <w:rPr>
                <w:rFonts w:ascii="Calibri" w:hAnsi="Calibri" w:cs="Calibri"/>
                <w:b/>
                <w:sz w:val="32"/>
              </w:rPr>
              <w:t>1. Определение цены доли в уставном капитале ООО при продаже</w:t>
            </w:r>
          </w:p>
          <w:p w:rsidR="00FD11BC" w:rsidRPr="00FD11BC" w:rsidRDefault="00FD11BC" w:rsidP="00FD11BC">
            <w:pPr>
              <w:numPr>
                <w:ilvl w:val="0"/>
                <w:numId w:val="1"/>
              </w:numPr>
              <w:spacing w:after="0" w:line="220" w:lineRule="auto"/>
              <w:ind w:left="0" w:firstLine="525"/>
              <w:jc w:val="both"/>
              <w:rPr>
                <w:b/>
              </w:rPr>
            </w:pPr>
            <w:r w:rsidRPr="00FD11BC">
              <w:rPr>
                <w:rFonts w:ascii="Calibri" w:hAnsi="Calibri" w:cs="Calibri"/>
                <w:b/>
              </w:rPr>
              <w:t>Стороны могут установить цену продажи доли как выше, так и ниже ее действительной (рыночной) или номинальной стоимости</w:t>
            </w:r>
          </w:p>
          <w:p w:rsidR="00FD11BC" w:rsidRDefault="00FD11BC" w:rsidP="00FD11BC">
            <w:pPr>
              <w:spacing w:after="0"/>
            </w:pPr>
          </w:p>
          <w:tbl>
            <w:tblPr>
              <w:tblW w:w="109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10906"/>
            </w:tblGrid>
            <w:tr w:rsidR="00FD11BC" w:rsidTr="00FD11BC">
              <w:trPr>
                <w:jc w:val="center"/>
              </w:trPr>
              <w:tc>
                <w:tcPr>
                  <w:tcW w:w="10906"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FD11BC" w:rsidRDefault="00FD11BC" w:rsidP="00FD11BC">
                  <w:pPr>
                    <w:spacing w:after="0" w:line="220" w:lineRule="auto"/>
                    <w:jc w:val="both"/>
                  </w:pPr>
                  <w:r>
                    <w:rPr>
                      <w:rFonts w:ascii="Calibri" w:hAnsi="Calibri" w:cs="Calibri"/>
                      <w:u w:val="single"/>
                    </w:rPr>
                    <w:t>Судебная практика</w:t>
                  </w:r>
                </w:p>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174"/>
                    <w:gridCol w:w="347"/>
                    <w:gridCol w:w="9821"/>
                    <w:gridCol w:w="174"/>
                  </w:tblGrid>
                  <w:tr w:rsidR="00FD11BC" w:rsidTr="00C84C3E">
                    <w:tc>
                      <w:tcPr>
                        <w:tcW w:w="180" w:type="dxa"/>
                        <w:tcBorders>
                          <w:top w:val="nil"/>
                          <w:left w:val="nil"/>
                          <w:bottom w:val="nil"/>
                          <w:right w:val="nil"/>
                        </w:tcBorders>
                        <w:tcMar>
                          <w:top w:w="0" w:type="dxa"/>
                          <w:left w:w="0" w:type="dxa"/>
                          <w:bottom w:w="0" w:type="dxa"/>
                          <w:right w:w="0" w:type="dxa"/>
                        </w:tcMar>
                      </w:tcPr>
                      <w:p w:rsidR="00FD11BC" w:rsidRDefault="00FD11BC" w:rsidP="00FD11BC">
                        <w:pPr>
                          <w:spacing w:after="0"/>
                        </w:pPr>
                      </w:p>
                    </w:tc>
                    <w:tc>
                      <w:tcPr>
                        <w:tcW w:w="360" w:type="dxa"/>
                        <w:tcBorders>
                          <w:top w:val="nil"/>
                          <w:left w:val="nil"/>
                          <w:bottom w:val="nil"/>
                          <w:right w:val="nil"/>
                        </w:tcBorders>
                        <w:tcMar>
                          <w:top w:w="180" w:type="dxa"/>
                          <w:left w:w="0" w:type="dxa"/>
                          <w:bottom w:w="180" w:type="dxa"/>
                          <w:right w:w="0" w:type="dxa"/>
                        </w:tcMar>
                      </w:tcPr>
                      <w:p w:rsidR="00FD11BC" w:rsidRDefault="00FD11BC" w:rsidP="00FD11BC">
                        <w:pPr>
                          <w:spacing w:after="0"/>
                        </w:pPr>
                        <w:r>
                          <w:rPr>
                            <w:noProof/>
                            <w:lang w:eastAsia="ru-RU"/>
                          </w:rPr>
                          <w:drawing>
                            <wp:inline distT="0" distB="0" distL="0" distR="0" wp14:anchorId="20C73192" wp14:editId="14C5663D">
                              <wp:extent cx="114300" cy="14287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10202" w:type="dxa"/>
                        <w:tcBorders>
                          <w:top w:val="nil"/>
                          <w:left w:val="nil"/>
                          <w:bottom w:val="nil"/>
                          <w:right w:val="nil"/>
                        </w:tcBorders>
                        <w:tcMar>
                          <w:top w:w="180" w:type="dxa"/>
                          <w:left w:w="0" w:type="dxa"/>
                          <w:bottom w:w="180" w:type="dxa"/>
                          <w:right w:w="0" w:type="dxa"/>
                        </w:tcMar>
                        <w:vAlign w:val="center"/>
                      </w:tcPr>
                      <w:p w:rsidR="00FD11BC" w:rsidRDefault="00FD11BC" w:rsidP="00FD11BC">
                        <w:pPr>
                          <w:spacing w:after="0" w:line="220" w:lineRule="auto"/>
                          <w:jc w:val="both"/>
                        </w:pPr>
                        <w:hyperlink r:id="rId23">
                          <w:r>
                            <w:rPr>
                              <w:rFonts w:ascii="Calibri" w:hAnsi="Calibri" w:cs="Calibri"/>
                              <w:color w:val="0000FF"/>
                            </w:rPr>
                            <w:t>Постановление</w:t>
                          </w:r>
                        </w:hyperlink>
                        <w:r>
                          <w:rPr>
                            <w:rFonts w:ascii="Calibri" w:hAnsi="Calibri" w:cs="Calibri"/>
                          </w:rPr>
                          <w:t xml:space="preserve"> Арбитражного суда Центрального округа от 11.03.2021 N Ф10-6058/2020 по делу N А23-8725/2019</w:t>
                        </w:r>
                      </w:p>
                    </w:tc>
                    <w:tc>
                      <w:tcPr>
                        <w:tcW w:w="180" w:type="dxa"/>
                        <w:tcBorders>
                          <w:top w:val="nil"/>
                          <w:left w:val="nil"/>
                          <w:bottom w:val="nil"/>
                          <w:right w:val="nil"/>
                        </w:tcBorders>
                        <w:tcMar>
                          <w:top w:w="0" w:type="dxa"/>
                          <w:left w:w="0" w:type="dxa"/>
                          <w:bottom w:w="0" w:type="dxa"/>
                          <w:right w:w="0" w:type="dxa"/>
                        </w:tcMar>
                      </w:tcPr>
                      <w:p w:rsidR="00FD11BC" w:rsidRDefault="00FD11BC" w:rsidP="00FD11BC">
                        <w:pPr>
                          <w:spacing w:after="0"/>
                        </w:pPr>
                      </w:p>
                    </w:tc>
                  </w:tr>
                </w:tbl>
                <w:p w:rsidR="00FD11BC" w:rsidRDefault="00FD11BC" w:rsidP="00FD11BC">
                  <w:pPr>
                    <w:spacing w:after="0" w:line="220" w:lineRule="auto"/>
                    <w:jc w:val="both"/>
                  </w:pPr>
                  <w:r>
                    <w:rPr>
                      <w:rFonts w:ascii="Calibri" w:hAnsi="Calibri" w:cs="Calibri"/>
                    </w:rPr>
                    <w:t>"</w:t>
                  </w:r>
                  <w:proofErr w:type="gramStart"/>
                  <w:r>
                    <w:rPr>
                      <w:rFonts w:ascii="Calibri" w:hAnsi="Calibri" w:cs="Calibri"/>
                    </w:rPr>
                    <w:t>...[</w:t>
                  </w:r>
                  <w:proofErr w:type="gramEnd"/>
                  <w:r>
                    <w:rPr>
                      <w:rFonts w:ascii="Calibri" w:hAnsi="Calibri" w:cs="Calibri"/>
                    </w:rPr>
                    <w:t>истец - ред.] обратился... к [ответчику - ред.] и обществу... с иском о признании недействительным договора купли-продажи доли в уставном капитале ООО...</w:t>
                  </w:r>
                </w:p>
                <w:p w:rsidR="00FD11BC" w:rsidRDefault="00FD11BC" w:rsidP="00FD11BC">
                  <w:pPr>
                    <w:spacing w:after="0" w:line="220" w:lineRule="auto"/>
                    <w:jc w:val="both"/>
                  </w:pPr>
                  <w:r>
                    <w:rPr>
                      <w:rFonts w:ascii="Calibri" w:hAnsi="Calibri" w:cs="Calibri"/>
                    </w:rPr>
                    <w:t xml:space="preserve">В ходе рассмотрения дела истец в порядке </w:t>
                  </w:r>
                  <w:hyperlink r:id="rId24">
                    <w:r>
                      <w:rPr>
                        <w:rFonts w:ascii="Calibri" w:hAnsi="Calibri" w:cs="Calibri"/>
                        <w:color w:val="0000FF"/>
                      </w:rPr>
                      <w:t>ст. 49</w:t>
                    </w:r>
                  </w:hyperlink>
                  <w:r>
                    <w:rPr>
                      <w:rFonts w:ascii="Calibri" w:hAnsi="Calibri" w:cs="Calibri"/>
                    </w:rPr>
                    <w:t xml:space="preserve"> АПК РФ уточнил основание иска, ссылался на то, что оспариваемая сделка является притворной...</w:t>
                  </w:r>
                </w:p>
                <w:p w:rsidR="00FD11BC" w:rsidRDefault="00FD11BC" w:rsidP="00FD11BC">
                  <w:pPr>
                    <w:spacing w:after="0" w:line="220" w:lineRule="auto"/>
                    <w:jc w:val="both"/>
                  </w:pPr>
                  <w:r>
                    <w:rPr>
                      <w:rFonts w:ascii="Calibri" w:hAnsi="Calibri" w:cs="Calibri"/>
                    </w:rPr>
                    <w:t>...в предмет доказывания по делам о признании притворных сделок недействительными входят факт заключения сделки, действительное волеизъявление сторон на совершение прикрываемой сделки, обстоятельства заключения договора и несоответствие волеизъявления сторон их действиям.</w:t>
                  </w:r>
                </w:p>
                <w:p w:rsidR="00FD11BC" w:rsidRDefault="00FD11BC" w:rsidP="00FD11BC">
                  <w:pPr>
                    <w:spacing w:after="0" w:line="220" w:lineRule="auto"/>
                    <w:jc w:val="both"/>
                  </w:pPr>
                  <w:r>
                    <w:rPr>
                      <w:rFonts w:ascii="Calibri" w:hAnsi="Calibri" w:cs="Calibri"/>
                    </w:rPr>
                    <w:lastRenderedPageBreak/>
                    <w:t xml:space="preserve">...Договор заключен на условиях, согласованных сторонами, доказательств обратного в нарушение </w:t>
                  </w:r>
                  <w:hyperlink r:id="rId25">
                    <w:r>
                      <w:rPr>
                        <w:rFonts w:ascii="Calibri" w:hAnsi="Calibri" w:cs="Calibri"/>
                        <w:color w:val="0000FF"/>
                      </w:rPr>
                      <w:t>ст. 65</w:t>
                    </w:r>
                  </w:hyperlink>
                  <w:r>
                    <w:rPr>
                      <w:rFonts w:ascii="Calibri" w:hAnsi="Calibri" w:cs="Calibri"/>
                    </w:rPr>
                    <w:t xml:space="preserve"> АПК РФ истцом в материалы дела не представлено.</w:t>
                  </w:r>
                </w:p>
                <w:p w:rsidR="00FD11BC" w:rsidRDefault="00FD11BC" w:rsidP="00FD11BC">
                  <w:pPr>
                    <w:spacing w:after="0" w:line="220" w:lineRule="auto"/>
                    <w:jc w:val="both"/>
                  </w:pPr>
                  <w:r>
                    <w:rPr>
                      <w:rFonts w:ascii="Calibri" w:hAnsi="Calibri" w:cs="Calibri"/>
                    </w:rPr>
                    <w:t>...Довод о несоответствии указанной в договоре цены доли ее рыночной стоимости также был предметом рассмотрения судов и правомерно ими отклонен.</w:t>
                  </w:r>
                </w:p>
                <w:p w:rsidR="00FD11BC" w:rsidRDefault="00FD11BC" w:rsidP="00FD11BC">
                  <w:pPr>
                    <w:spacing w:after="0" w:line="220" w:lineRule="auto"/>
                    <w:jc w:val="both"/>
                  </w:pPr>
                  <w:r>
                    <w:rPr>
                      <w:rFonts w:ascii="Calibri" w:hAnsi="Calibri" w:cs="Calibri"/>
                    </w:rPr>
                    <w:t xml:space="preserve">По общему правилу ни в </w:t>
                  </w:r>
                  <w:hyperlink r:id="rId26">
                    <w:r>
                      <w:rPr>
                        <w:rFonts w:ascii="Calibri" w:hAnsi="Calibri" w:cs="Calibri"/>
                        <w:color w:val="0000FF"/>
                      </w:rPr>
                      <w:t>ГК</w:t>
                    </w:r>
                  </w:hyperlink>
                  <w:r>
                    <w:rPr>
                      <w:rFonts w:ascii="Calibri" w:hAnsi="Calibri" w:cs="Calibri"/>
                    </w:rPr>
                    <w:t xml:space="preserve"> РФ, ни в </w:t>
                  </w:r>
                  <w:hyperlink r:id="rId27">
                    <w:r>
                      <w:rPr>
                        <w:rFonts w:ascii="Calibri" w:hAnsi="Calibri" w:cs="Calibri"/>
                        <w:color w:val="0000FF"/>
                      </w:rPr>
                      <w:t>Законе</w:t>
                    </w:r>
                  </w:hyperlink>
                  <w:r>
                    <w:rPr>
                      <w:rFonts w:ascii="Calibri" w:hAnsi="Calibri" w:cs="Calibri"/>
                    </w:rPr>
                    <w:t xml:space="preserve"> об ООО не устанавливается запрет на определение цены продажи ниже действительной (рыночной) стоимости доли. Следовательно, исходя из принципа свободы договора (</w:t>
                  </w:r>
                  <w:hyperlink r:id="rId28">
                    <w:r>
                      <w:rPr>
                        <w:rFonts w:ascii="Calibri" w:hAnsi="Calibri" w:cs="Calibri"/>
                        <w:color w:val="0000FF"/>
                      </w:rPr>
                      <w:t>ст. 421</w:t>
                    </w:r>
                  </w:hyperlink>
                  <w:r>
                    <w:rPr>
                      <w:rFonts w:ascii="Calibri" w:hAnsi="Calibri" w:cs="Calibri"/>
                    </w:rPr>
                    <w:t xml:space="preserve"> ГК РФ) стороны договора вправе установить цену продажи доли в любом размере - как выше, так и ниже действительной (рыночной) стоимости или номинальной цены.</w:t>
                  </w:r>
                </w:p>
                <w:p w:rsidR="00FD11BC" w:rsidRDefault="00FD11BC" w:rsidP="00FD11BC">
                  <w:pPr>
                    <w:spacing w:after="0" w:line="220" w:lineRule="auto"/>
                    <w:jc w:val="both"/>
                  </w:pPr>
                  <w:r>
                    <w:rPr>
                      <w:rFonts w:ascii="Calibri" w:hAnsi="Calibri" w:cs="Calibri"/>
                    </w:rPr>
                    <w:t>При изложенных обстоятельствах судами было отказано истцу в удовлетворении ходатайства о назначении экспертизы с целью установления действительной стоимости доли, поскольку при рассмотрении данной категории спора ее назначение не требуется..."</w:t>
                  </w:r>
                </w:p>
                <w:p w:rsidR="00FD11BC" w:rsidRDefault="00FD11BC" w:rsidP="00FD11BC">
                  <w:pPr>
                    <w:spacing w:after="0" w:line="220" w:lineRule="auto"/>
                    <w:jc w:val="both"/>
                  </w:pPr>
                  <w:r>
                    <w:rPr>
                      <w:rFonts w:ascii="Calibri" w:hAnsi="Calibri" w:cs="Calibri"/>
                      <w:b/>
                    </w:rPr>
                    <w:t>Аналогичная позиция найдена в следующих судебных актах:</w:t>
                  </w:r>
                </w:p>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174"/>
                    <w:gridCol w:w="737"/>
                    <w:gridCol w:w="9431"/>
                    <w:gridCol w:w="174"/>
                  </w:tblGrid>
                  <w:tr w:rsidR="00FD11BC" w:rsidTr="00C84C3E">
                    <w:tc>
                      <w:tcPr>
                        <w:tcW w:w="180" w:type="dxa"/>
                        <w:tcBorders>
                          <w:top w:val="nil"/>
                          <w:left w:val="nil"/>
                          <w:bottom w:val="nil"/>
                          <w:right w:val="nil"/>
                        </w:tcBorders>
                        <w:tcMar>
                          <w:top w:w="0" w:type="dxa"/>
                          <w:left w:w="0" w:type="dxa"/>
                          <w:bottom w:w="0" w:type="dxa"/>
                          <w:right w:w="0" w:type="dxa"/>
                        </w:tcMar>
                      </w:tcPr>
                      <w:p w:rsidR="00FD11BC" w:rsidRDefault="00FD11BC" w:rsidP="00FD11BC">
                        <w:pPr>
                          <w:spacing w:after="0"/>
                        </w:pPr>
                      </w:p>
                    </w:tc>
                    <w:tc>
                      <w:tcPr>
                        <w:tcW w:w="765" w:type="dxa"/>
                        <w:tcBorders>
                          <w:top w:val="nil"/>
                          <w:left w:val="nil"/>
                          <w:bottom w:val="nil"/>
                          <w:right w:val="nil"/>
                        </w:tcBorders>
                        <w:tcMar>
                          <w:top w:w="180" w:type="dxa"/>
                          <w:left w:w="0" w:type="dxa"/>
                          <w:bottom w:w="180" w:type="dxa"/>
                          <w:right w:w="0" w:type="dxa"/>
                        </w:tcMar>
                      </w:tcPr>
                      <w:p w:rsidR="00FD11BC" w:rsidRDefault="00FD11BC" w:rsidP="00FD11BC">
                        <w:pPr>
                          <w:spacing w:after="0"/>
                        </w:pPr>
                        <w:r>
                          <w:rPr>
                            <w:noProof/>
                            <w:lang w:eastAsia="ru-RU"/>
                          </w:rPr>
                          <w:drawing>
                            <wp:inline distT="0" distB="0" distL="0" distR="0" wp14:anchorId="73EFEE79" wp14:editId="569CA0A0">
                              <wp:extent cx="371475" cy="14287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p>
                    </w:tc>
                    <w:tc>
                      <w:tcPr>
                        <w:tcW w:w="9797" w:type="dxa"/>
                        <w:tcBorders>
                          <w:top w:val="nil"/>
                          <w:left w:val="nil"/>
                          <w:bottom w:val="nil"/>
                          <w:right w:val="nil"/>
                        </w:tcBorders>
                        <w:tcMar>
                          <w:top w:w="180" w:type="dxa"/>
                          <w:left w:w="0" w:type="dxa"/>
                          <w:bottom w:w="180" w:type="dxa"/>
                          <w:right w:w="0" w:type="dxa"/>
                        </w:tcMar>
                      </w:tcPr>
                      <w:p w:rsidR="00FD11BC" w:rsidRDefault="00FD11BC" w:rsidP="00FD11BC">
                        <w:pPr>
                          <w:spacing w:after="0" w:line="220" w:lineRule="auto"/>
                          <w:jc w:val="both"/>
                        </w:pPr>
                        <w:hyperlink r:id="rId30">
                          <w:r>
                            <w:rPr>
                              <w:rFonts w:ascii="Calibri" w:hAnsi="Calibri" w:cs="Calibri"/>
                              <w:color w:val="0000FF"/>
                            </w:rPr>
                            <w:t>Постановление</w:t>
                          </w:r>
                        </w:hyperlink>
                        <w:r>
                          <w:rPr>
                            <w:rFonts w:ascii="Calibri" w:hAnsi="Calibri" w:cs="Calibri"/>
                          </w:rPr>
                          <w:t xml:space="preserve"> Арбитражного суда Северо-Западного округа от 22.02.2022 N Ф07-20474/2021 по делу N А56-102590/2020</w:t>
                        </w:r>
                      </w:p>
                    </w:tc>
                    <w:tc>
                      <w:tcPr>
                        <w:tcW w:w="180" w:type="dxa"/>
                        <w:tcBorders>
                          <w:top w:val="nil"/>
                          <w:left w:val="nil"/>
                          <w:bottom w:val="nil"/>
                          <w:right w:val="nil"/>
                        </w:tcBorders>
                        <w:tcMar>
                          <w:top w:w="0" w:type="dxa"/>
                          <w:left w:w="0" w:type="dxa"/>
                          <w:bottom w:w="0" w:type="dxa"/>
                          <w:right w:w="0" w:type="dxa"/>
                        </w:tcMar>
                      </w:tcPr>
                      <w:p w:rsidR="00FD11BC" w:rsidRDefault="00FD11BC" w:rsidP="00FD11BC">
                        <w:pPr>
                          <w:spacing w:after="0"/>
                        </w:pPr>
                      </w:p>
                    </w:tc>
                  </w:tr>
                  <w:tr w:rsidR="00FD11BC" w:rsidTr="00C84C3E">
                    <w:tc>
                      <w:tcPr>
                        <w:tcW w:w="180" w:type="dxa"/>
                        <w:tcBorders>
                          <w:top w:val="nil"/>
                          <w:left w:val="nil"/>
                          <w:bottom w:val="nil"/>
                          <w:right w:val="nil"/>
                        </w:tcBorders>
                        <w:tcMar>
                          <w:top w:w="0" w:type="dxa"/>
                          <w:left w:w="0" w:type="dxa"/>
                          <w:bottom w:w="0" w:type="dxa"/>
                          <w:right w:w="0" w:type="dxa"/>
                        </w:tcMar>
                      </w:tcPr>
                      <w:p w:rsidR="00FD11BC" w:rsidRDefault="00FD11BC" w:rsidP="00FD11BC">
                        <w:pPr>
                          <w:spacing w:after="0"/>
                        </w:pPr>
                      </w:p>
                    </w:tc>
                    <w:tc>
                      <w:tcPr>
                        <w:tcW w:w="765" w:type="dxa"/>
                        <w:tcBorders>
                          <w:top w:val="nil"/>
                          <w:left w:val="nil"/>
                          <w:bottom w:val="nil"/>
                          <w:right w:val="nil"/>
                        </w:tcBorders>
                        <w:tcMar>
                          <w:top w:w="180" w:type="dxa"/>
                          <w:left w:w="0" w:type="dxa"/>
                          <w:bottom w:w="180" w:type="dxa"/>
                          <w:right w:w="0" w:type="dxa"/>
                        </w:tcMar>
                      </w:tcPr>
                      <w:p w:rsidR="00FD11BC" w:rsidRDefault="00FD11BC" w:rsidP="00FD11BC">
                        <w:pPr>
                          <w:spacing w:after="0"/>
                        </w:pPr>
                        <w:r>
                          <w:rPr>
                            <w:noProof/>
                            <w:lang w:eastAsia="ru-RU"/>
                          </w:rPr>
                          <w:drawing>
                            <wp:inline distT="0" distB="0" distL="0" distR="0" wp14:anchorId="51CAFFF4" wp14:editId="73CA07B5">
                              <wp:extent cx="371475" cy="14287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p>
                    </w:tc>
                    <w:tc>
                      <w:tcPr>
                        <w:tcW w:w="9797" w:type="dxa"/>
                        <w:tcBorders>
                          <w:top w:val="nil"/>
                          <w:left w:val="nil"/>
                          <w:bottom w:val="nil"/>
                          <w:right w:val="nil"/>
                        </w:tcBorders>
                        <w:tcMar>
                          <w:top w:w="180" w:type="dxa"/>
                          <w:left w:w="0" w:type="dxa"/>
                          <w:bottom w:w="180" w:type="dxa"/>
                          <w:right w:w="0" w:type="dxa"/>
                        </w:tcMar>
                      </w:tcPr>
                      <w:p w:rsidR="00FD11BC" w:rsidRDefault="00FD11BC" w:rsidP="00FD11BC">
                        <w:pPr>
                          <w:spacing w:after="0" w:line="220" w:lineRule="auto"/>
                          <w:jc w:val="both"/>
                        </w:pPr>
                        <w:hyperlink r:id="rId31">
                          <w:r>
                            <w:rPr>
                              <w:rFonts w:ascii="Calibri" w:hAnsi="Calibri" w:cs="Calibri"/>
                              <w:color w:val="0000FF"/>
                            </w:rPr>
                            <w:t>Постановление</w:t>
                          </w:r>
                        </w:hyperlink>
                        <w:r>
                          <w:rPr>
                            <w:rFonts w:ascii="Calibri" w:hAnsi="Calibri" w:cs="Calibri"/>
                          </w:rPr>
                          <w:t xml:space="preserve"> Арбитражного суда Центрального округа от 20.12.2019 N Ф10-5812/2019 по делу N А09-1363/2019</w:t>
                        </w:r>
                      </w:p>
                    </w:tc>
                    <w:tc>
                      <w:tcPr>
                        <w:tcW w:w="180" w:type="dxa"/>
                        <w:tcBorders>
                          <w:top w:val="nil"/>
                          <w:left w:val="nil"/>
                          <w:bottom w:val="nil"/>
                          <w:right w:val="nil"/>
                        </w:tcBorders>
                        <w:tcMar>
                          <w:top w:w="0" w:type="dxa"/>
                          <w:left w:w="0" w:type="dxa"/>
                          <w:bottom w:w="0" w:type="dxa"/>
                          <w:right w:w="0" w:type="dxa"/>
                        </w:tcMar>
                      </w:tcPr>
                      <w:p w:rsidR="00FD11BC" w:rsidRDefault="00FD11BC" w:rsidP="00FD11BC">
                        <w:pPr>
                          <w:spacing w:after="0"/>
                        </w:pPr>
                      </w:p>
                    </w:tc>
                  </w:tr>
                </w:tbl>
                <w:p w:rsidR="00FD11BC" w:rsidRDefault="00FD11BC" w:rsidP="00FD11BC">
                  <w:pPr>
                    <w:spacing w:after="0"/>
                  </w:pPr>
                </w:p>
              </w:tc>
            </w:tr>
          </w:tbl>
          <w:p w:rsidR="00C22AE6" w:rsidRPr="00886C8A" w:rsidRDefault="00C22AE6" w:rsidP="00503822">
            <w:pPr>
              <w:spacing w:after="0" w:line="220" w:lineRule="auto"/>
              <w:ind w:firstLine="540"/>
              <w:jc w:val="both"/>
              <w:rPr>
                <w:b/>
              </w:rPr>
            </w:pPr>
          </w:p>
        </w:tc>
      </w:tr>
    </w:tbl>
    <w:p w:rsidR="00FD11BC" w:rsidRPr="00FD11BC" w:rsidRDefault="00C22AE6" w:rsidP="00FD11BC">
      <w:pPr>
        <w:spacing w:after="0" w:line="220" w:lineRule="auto"/>
        <w:ind w:firstLine="567"/>
        <w:rPr>
          <w:sz w:val="18"/>
          <w:szCs w:val="18"/>
        </w:rPr>
      </w:pPr>
      <w:r>
        <w:rPr>
          <w:b/>
        </w:rPr>
        <w:lastRenderedPageBreak/>
        <w:t xml:space="preserve"> Источник:</w:t>
      </w:r>
      <w:r>
        <w:t xml:space="preserve"> </w:t>
      </w:r>
      <w:hyperlink r:id="rId32">
        <w:r w:rsidR="00FD11BC" w:rsidRPr="00FD11BC">
          <w:rPr>
            <w:rFonts w:ascii="Calibri" w:hAnsi="Calibri" w:cs="Calibri"/>
            <w:i/>
            <w:color w:val="0000FF"/>
            <w:sz w:val="18"/>
            <w:szCs w:val="18"/>
          </w:rPr>
          <w:br/>
          <w:t>{Позиции судов по спорным вопросам. Корпоративное право: Цена и оплата доли в ООО при продаже (</w:t>
        </w:r>
        <w:proofErr w:type="spellStart"/>
        <w:r w:rsidR="00FD11BC" w:rsidRPr="00FD11BC">
          <w:rPr>
            <w:rFonts w:ascii="Calibri" w:hAnsi="Calibri" w:cs="Calibri"/>
            <w:i/>
            <w:color w:val="0000FF"/>
            <w:sz w:val="18"/>
            <w:szCs w:val="18"/>
          </w:rPr>
          <w:t>КонсультантПлюс</w:t>
        </w:r>
        <w:proofErr w:type="spellEnd"/>
        <w:r w:rsidR="00FD11BC" w:rsidRPr="00FD11BC">
          <w:rPr>
            <w:rFonts w:ascii="Calibri" w:hAnsi="Calibri" w:cs="Calibri"/>
            <w:i/>
            <w:color w:val="0000FF"/>
            <w:sz w:val="18"/>
            <w:szCs w:val="18"/>
          </w:rPr>
          <w:t>, 2024) {</w:t>
        </w:r>
        <w:proofErr w:type="spellStart"/>
        <w:r w:rsidR="00FD11BC" w:rsidRPr="00FD11BC">
          <w:rPr>
            <w:rFonts w:ascii="Calibri" w:hAnsi="Calibri" w:cs="Calibri"/>
            <w:i/>
            <w:color w:val="0000FF"/>
            <w:sz w:val="18"/>
            <w:szCs w:val="18"/>
          </w:rPr>
          <w:t>КонсультантПлюс</w:t>
        </w:r>
        <w:proofErr w:type="spellEnd"/>
        <w:r w:rsidR="00FD11BC" w:rsidRPr="00FD11BC">
          <w:rPr>
            <w:rFonts w:ascii="Calibri" w:hAnsi="Calibri" w:cs="Calibri"/>
            <w:i/>
            <w:color w:val="0000FF"/>
            <w:sz w:val="18"/>
            <w:szCs w:val="18"/>
          </w:rPr>
          <w:t>}}</w:t>
        </w:r>
      </w:hyperlink>
      <w:r w:rsidR="00FD11BC" w:rsidRPr="00FD11BC">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C22AE6" w:rsidTr="006C5738">
        <w:tc>
          <w:tcPr>
            <w:tcW w:w="11340" w:type="dxa"/>
            <w:tcBorders>
              <w:top w:val="nil"/>
              <w:left w:val="single" w:sz="24" w:space="0" w:color="FE9500"/>
              <w:bottom w:val="nil"/>
              <w:right w:val="nil"/>
            </w:tcBorders>
            <w:shd w:val="clear" w:color="auto" w:fill="F2F4E6"/>
          </w:tcPr>
          <w:p w:rsidR="00FD11BC" w:rsidRDefault="00FD11BC" w:rsidP="00FD11BC">
            <w:pPr>
              <w:pStyle w:val="ConsPlusNormal"/>
              <w:ind w:firstLine="540"/>
              <w:jc w:val="both"/>
            </w:pPr>
            <w:r>
              <w:rPr>
                <w:b/>
              </w:rPr>
              <w:t>Вопрос:</w:t>
            </w:r>
            <w:r>
              <w:t xml:space="preserve"> Правомерно ли оспаривание сделки по отчуждению доли в уставном капитале по основанию несоответствия цены доли ее действительной (рыночной) стоимости?</w:t>
            </w:r>
          </w:p>
          <w:p w:rsidR="00FD11BC" w:rsidRDefault="00FD11BC" w:rsidP="00FD11BC">
            <w:pPr>
              <w:pStyle w:val="ConsPlusNormal"/>
              <w:ind w:firstLine="540"/>
              <w:jc w:val="both"/>
            </w:pPr>
          </w:p>
          <w:p w:rsidR="00FD11BC" w:rsidRDefault="00FD11BC" w:rsidP="00FD11BC">
            <w:pPr>
              <w:pStyle w:val="ConsPlusNormal"/>
              <w:ind w:firstLine="540"/>
              <w:jc w:val="both"/>
            </w:pPr>
            <w:r>
              <w:rPr>
                <w:b/>
              </w:rPr>
              <w:t>Ответ:</w:t>
            </w:r>
            <w:r>
              <w:t xml:space="preserve"> Оспаривание сделки по отчуждению доли в уставном капитале по основанию несоответствия цены доли ее действительной (рыночной) стоимости неправомерно.</w:t>
            </w:r>
          </w:p>
          <w:p w:rsidR="00FD11BC" w:rsidRPr="00FD11BC" w:rsidRDefault="00FD11BC" w:rsidP="00FD11BC">
            <w:pPr>
              <w:pStyle w:val="ConsPlusNormal"/>
              <w:ind w:firstLine="540"/>
              <w:jc w:val="both"/>
              <w:rPr>
                <w:b/>
              </w:rPr>
            </w:pPr>
            <w:r>
              <w:t xml:space="preserve">Само по себе установление в договоре цены продажи доли в уставном капитале менее ее действительной (рыночной) стоимости не влечет за собой недействительности договора купли-продажи доли в уставном капитале ООО, т.к. стороны вправе согласовать такое условие о цене. </w:t>
            </w:r>
            <w:hyperlink r:id="rId33">
              <w:r w:rsidRPr="00FD11BC">
                <w:rPr>
                  <w:b/>
                  <w:color w:val="0000FF"/>
                </w:rPr>
                <w:t>Законом</w:t>
              </w:r>
            </w:hyperlink>
            <w:r w:rsidRPr="00FD11BC">
              <w:rPr>
                <w:b/>
              </w:rPr>
              <w:t xml:space="preserve"> не выдвигаются требования о допустимой цене продажи долей в уставном капитале ООО.</w:t>
            </w:r>
          </w:p>
          <w:p w:rsidR="00FD11BC" w:rsidRDefault="00FD11BC" w:rsidP="00FD11BC">
            <w:pPr>
              <w:pStyle w:val="ConsPlusNormal"/>
              <w:ind w:firstLine="540"/>
              <w:jc w:val="both"/>
            </w:pPr>
            <w:r>
              <w:t>Между тем, цена продажи может учитываться как дополнительный фактор в пользу недействительности договора при наличии иных признаков недействительности сделки.</w:t>
            </w:r>
          </w:p>
          <w:p w:rsidR="00FD11BC" w:rsidRDefault="00FD11BC" w:rsidP="00FD11BC">
            <w:pPr>
              <w:pStyle w:val="ConsPlusNormal"/>
              <w:ind w:firstLine="540"/>
              <w:jc w:val="both"/>
            </w:pPr>
          </w:p>
          <w:p w:rsidR="00FD11BC" w:rsidRDefault="00FD11BC" w:rsidP="00FD11BC">
            <w:pPr>
              <w:pStyle w:val="ConsPlusNormal"/>
              <w:ind w:firstLine="540"/>
              <w:jc w:val="both"/>
            </w:pPr>
            <w:r>
              <w:rPr>
                <w:b/>
              </w:rPr>
              <w:t>Обоснование:</w:t>
            </w:r>
            <w:r>
              <w:t xml:space="preserve"> Переход доли в уставном капитале общества с ограниченной ответственностью к иному лицу допускается, в </w:t>
            </w:r>
            <w:proofErr w:type="spellStart"/>
            <w:r>
              <w:t>т.ч</w:t>
            </w:r>
            <w:proofErr w:type="spellEnd"/>
            <w:r>
              <w:t>. на основании сделки. Участник общества вправе продать свою долю или часть доли другим участникам общества или третьему лицу (</w:t>
            </w:r>
            <w:hyperlink r:id="rId34">
              <w:r>
                <w:rPr>
                  <w:color w:val="0000FF"/>
                </w:rPr>
                <w:t>ст. 21</w:t>
              </w:r>
            </w:hyperlink>
            <w:r>
              <w:t xml:space="preserve"> Федерального закона от 08.02.1998 N 14-ФЗ "Об обществах с ограниченной ответственностью" (далее - Закон об ООО)).</w:t>
            </w:r>
          </w:p>
          <w:p w:rsidR="00FD11BC" w:rsidRDefault="00FD11BC" w:rsidP="00FD11BC">
            <w:pPr>
              <w:pStyle w:val="ConsPlusNormal"/>
              <w:ind w:firstLine="540"/>
              <w:jc w:val="both"/>
            </w:pPr>
            <w:r>
              <w:t>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 (</w:t>
            </w:r>
            <w:hyperlink r:id="rId35">
              <w:r>
                <w:rPr>
                  <w:color w:val="0000FF"/>
                </w:rPr>
                <w:t>п. 1 ст. 454</w:t>
              </w:r>
            </w:hyperlink>
            <w:r>
              <w:t xml:space="preserve"> ГК РФ).</w:t>
            </w:r>
          </w:p>
          <w:p w:rsidR="00FD11BC" w:rsidRDefault="00FD11BC" w:rsidP="00FD11BC">
            <w:pPr>
              <w:pStyle w:val="ConsPlusNormal"/>
              <w:ind w:firstLine="540"/>
              <w:jc w:val="both"/>
            </w:pPr>
            <w:r>
              <w:t>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 (</w:t>
            </w:r>
            <w:hyperlink r:id="rId36">
              <w:r>
                <w:rPr>
                  <w:color w:val="0000FF"/>
                </w:rPr>
                <w:t>п. 1 ст. 432</w:t>
              </w:r>
            </w:hyperlink>
            <w:r>
              <w:t xml:space="preserve"> ГК РФ). При этом продажа производится по цене, предусмотренной договором купли-продажи, или определяется по правилам, установленным законом (</w:t>
            </w:r>
            <w:hyperlink r:id="rId37">
              <w:r>
                <w:rPr>
                  <w:color w:val="0000FF"/>
                </w:rPr>
                <w:t>п. 1 ст. 485</w:t>
              </w:r>
            </w:hyperlink>
            <w:r>
              <w:t xml:space="preserve"> ГК РФ).</w:t>
            </w:r>
          </w:p>
          <w:p w:rsidR="00FD11BC" w:rsidRDefault="00FD11BC" w:rsidP="00FD11BC">
            <w:pPr>
              <w:pStyle w:val="ConsPlusNormal"/>
              <w:ind w:firstLine="540"/>
              <w:jc w:val="both"/>
            </w:pPr>
            <w:r>
              <w:t xml:space="preserve">В соответствии с </w:t>
            </w:r>
            <w:hyperlink r:id="rId38">
              <w:r>
                <w:rPr>
                  <w:color w:val="0000FF"/>
                </w:rPr>
                <w:t>п. 1 ст. 90</w:t>
              </w:r>
            </w:hyperlink>
            <w:r>
              <w:t xml:space="preserve"> ГК РФ уставный капитал общества с ограниченной ответственностью (</w:t>
            </w:r>
            <w:hyperlink r:id="rId39">
              <w:r>
                <w:rPr>
                  <w:color w:val="0000FF"/>
                </w:rPr>
                <w:t>ст. 66.2</w:t>
              </w:r>
            </w:hyperlink>
            <w:r>
              <w:t xml:space="preserve"> ГК РФ) составляется из номинальной стоимости долей участников.</w:t>
            </w:r>
          </w:p>
          <w:p w:rsidR="00FD11BC" w:rsidRDefault="00FD11BC" w:rsidP="00FD11BC">
            <w:pPr>
              <w:pStyle w:val="ConsPlusNormal"/>
              <w:ind w:firstLine="540"/>
              <w:jc w:val="both"/>
            </w:pPr>
            <w:r>
              <w:t>Уставный капитал общества с ограниченной ответственностью определяет минимальный размер имущества общества, гарантирующего интересы его кредиторов (</w:t>
            </w:r>
            <w:hyperlink r:id="rId40">
              <w:r>
                <w:rPr>
                  <w:color w:val="0000FF"/>
                </w:rPr>
                <w:t>Постановление</w:t>
              </w:r>
            </w:hyperlink>
            <w:r>
              <w:t xml:space="preserve"> Арбитражного суда Поволжского округа от 20.10.2021 N Ф06-1124/2021 по делу N А65-5945/2020, </w:t>
            </w:r>
            <w:hyperlink r:id="rId41">
              <w:r>
                <w:rPr>
                  <w:color w:val="0000FF"/>
                </w:rPr>
                <w:t>Постановление</w:t>
              </w:r>
            </w:hyperlink>
            <w:r>
              <w:t xml:space="preserve"> Арбитражного суда Восточно-Сибирского округа от 17.06.2020 N Ф02-1196/2020 по делу N А78-8044/2019, </w:t>
            </w:r>
            <w:hyperlink r:id="rId42">
              <w:r>
                <w:rPr>
                  <w:color w:val="0000FF"/>
                </w:rPr>
                <w:t>Постановление</w:t>
              </w:r>
            </w:hyperlink>
            <w:r>
              <w:t xml:space="preserve"> Арбитражного суда Западно-Сибирского округа от 26.01.2017 N Ф04-6305/2016 по делу N А45-3085/2016 (</w:t>
            </w:r>
            <w:hyperlink r:id="rId43">
              <w:r>
                <w:rPr>
                  <w:color w:val="0000FF"/>
                </w:rPr>
                <w:t>Определением</w:t>
              </w:r>
            </w:hyperlink>
            <w:r>
              <w:t xml:space="preserve"> Верховного Суда РФ от 26.04.2017 N 304-ЭС17-4144 отказано в передаче дела N А45-3085/2016 в Судебную коллегию по экономическим спорам Верховного Суда РФ для пересмотра в порядке кассационного производства данного </w:t>
            </w:r>
            <w:hyperlink r:id="rId44">
              <w:r>
                <w:rPr>
                  <w:color w:val="0000FF"/>
                </w:rPr>
                <w:t>Постановления</w:t>
              </w:r>
            </w:hyperlink>
            <w:r>
              <w:t>)).</w:t>
            </w:r>
          </w:p>
          <w:p w:rsidR="00FD11BC" w:rsidRPr="00FD11BC" w:rsidRDefault="00FD11BC" w:rsidP="00FD11BC">
            <w:pPr>
              <w:pStyle w:val="ConsPlusNormal"/>
              <w:ind w:firstLine="540"/>
              <w:jc w:val="both"/>
              <w:rPr>
                <w:b/>
              </w:rPr>
            </w:pPr>
            <w:r w:rsidRPr="00FD11BC">
              <w:rPr>
                <w:b/>
              </w:rPr>
              <w:t xml:space="preserve">По общему правилу ни в </w:t>
            </w:r>
            <w:hyperlink r:id="rId45">
              <w:r w:rsidRPr="00FD11BC">
                <w:rPr>
                  <w:b/>
                  <w:color w:val="0000FF"/>
                </w:rPr>
                <w:t>ГК</w:t>
              </w:r>
            </w:hyperlink>
            <w:r w:rsidRPr="00FD11BC">
              <w:rPr>
                <w:b/>
              </w:rPr>
              <w:t xml:space="preserve"> РФ, ни в </w:t>
            </w:r>
            <w:hyperlink r:id="rId46">
              <w:r w:rsidRPr="00FD11BC">
                <w:rPr>
                  <w:b/>
                  <w:color w:val="0000FF"/>
                </w:rPr>
                <w:t>Законе</w:t>
              </w:r>
            </w:hyperlink>
            <w:r w:rsidRPr="00FD11BC">
              <w:rPr>
                <w:b/>
              </w:rPr>
              <w:t xml:space="preserve"> об ООО не устанавливается запрет на определение цены продажи ниже действительной (рыночной) стоимости доли. Следовательно, исходя из принципа свободы </w:t>
            </w:r>
            <w:r w:rsidRPr="00FD11BC">
              <w:rPr>
                <w:b/>
              </w:rPr>
              <w:lastRenderedPageBreak/>
              <w:t>договора (</w:t>
            </w:r>
            <w:hyperlink r:id="rId47">
              <w:r w:rsidRPr="00FD11BC">
                <w:rPr>
                  <w:b/>
                  <w:color w:val="0000FF"/>
                </w:rPr>
                <w:t>ст. 421</w:t>
              </w:r>
            </w:hyperlink>
            <w:r w:rsidRPr="00FD11BC">
              <w:rPr>
                <w:b/>
              </w:rPr>
              <w:t xml:space="preserve"> ГК РФ) стороны договора вправе установить цену продажи доли в любом размере - как выше, так и ниже действительной (рыночной) стоимости или номинальной цены. </w:t>
            </w:r>
            <w:hyperlink r:id="rId48">
              <w:r w:rsidRPr="00FD11BC">
                <w:rPr>
                  <w:b/>
                  <w:color w:val="0000FF"/>
                </w:rPr>
                <w:t>Закон</w:t>
              </w:r>
            </w:hyperlink>
            <w:r w:rsidRPr="00FD11BC">
              <w:rPr>
                <w:b/>
              </w:rPr>
              <w:t xml:space="preserve"> об ООО не содержит норм, регламентирующих определение цены доли в уставном капитале общества при ее отчуждении по сделкам купли-продажи. Данная позиция распространена и в судебной практике (</w:t>
            </w:r>
            <w:hyperlink r:id="rId49">
              <w:r w:rsidRPr="00FD11BC">
                <w:rPr>
                  <w:b/>
                  <w:color w:val="0000FF"/>
                </w:rPr>
                <w:t>Постановление</w:t>
              </w:r>
            </w:hyperlink>
            <w:r w:rsidRPr="00FD11BC">
              <w:rPr>
                <w:b/>
              </w:rPr>
              <w:t xml:space="preserve"> Арбитражного суда Московского округа от 05.12.2022 N Ф05-30386/2022 по делу N А40-283659/2021, </w:t>
            </w:r>
            <w:hyperlink r:id="rId50">
              <w:r w:rsidRPr="00FD11BC">
                <w:rPr>
                  <w:b/>
                  <w:color w:val="0000FF"/>
                </w:rPr>
                <w:t>Постановление</w:t>
              </w:r>
            </w:hyperlink>
            <w:r w:rsidRPr="00FD11BC">
              <w:rPr>
                <w:b/>
              </w:rPr>
              <w:t xml:space="preserve"> Арбитражного суда Центрального округа от 11.03.2021 N Ф10-6058/2020 по делу N А23-8725/2019). Стороны сделки об отчуждении доли третьему лицу по цене, не соответствующей уставу ООО, не могут быть принуждены к установлению определенной цены сделки (</w:t>
            </w:r>
            <w:hyperlink r:id="rId51">
              <w:r w:rsidRPr="00FD11BC">
                <w:rPr>
                  <w:b/>
                  <w:color w:val="0000FF"/>
                </w:rPr>
                <w:t>Постановление</w:t>
              </w:r>
            </w:hyperlink>
            <w:r w:rsidRPr="00FD11BC">
              <w:rPr>
                <w:b/>
              </w:rPr>
              <w:t xml:space="preserve"> Тринадцатого арбитражного апелляционного суда от 30.06.2016 N 13АП-9829/2016 по делу N А56-84856/2015).</w:t>
            </w:r>
          </w:p>
          <w:p w:rsidR="00FD11BC" w:rsidRDefault="00FD11BC" w:rsidP="00FD11BC">
            <w:pPr>
              <w:pStyle w:val="ConsPlusNormal"/>
              <w:ind w:firstLine="540"/>
              <w:jc w:val="both"/>
            </w:pPr>
            <w:r>
              <w:t>Суды исходят из того, что само по себе определение цены продажи ниже действительной (рыночной) стоимости (в частности, "по номиналу") не влечет за собой недействительности договора (</w:t>
            </w:r>
            <w:hyperlink r:id="rId52">
              <w:r>
                <w:rPr>
                  <w:color w:val="0000FF"/>
                </w:rPr>
                <w:t>Постановление</w:t>
              </w:r>
            </w:hyperlink>
            <w:r>
              <w:t xml:space="preserve"> Арбитражного суда Западно-Сибирского округа от 16.04.2018 N Ф04-796/2018 по делу N А27-7282/2017 (</w:t>
            </w:r>
            <w:hyperlink r:id="rId53">
              <w:r>
                <w:rPr>
                  <w:color w:val="0000FF"/>
                </w:rPr>
                <w:t>Определением</w:t>
              </w:r>
            </w:hyperlink>
            <w:r>
              <w:t xml:space="preserve"> Верховного Суда РФ от 16.07.2018 N 304-ЭС18-11475 отказано в передаче дела N А27-7282/2017 в Судебную коллегию по экономическим спорам Верховного Суда РФ для пересмотра в порядке кассационного производства данного </w:t>
            </w:r>
            <w:hyperlink r:id="rId54">
              <w:r>
                <w:rPr>
                  <w:color w:val="0000FF"/>
                </w:rPr>
                <w:t>Постановления</w:t>
              </w:r>
            </w:hyperlink>
            <w:r>
              <w:t>)). Сама по себе возможная убыточность сделки для одного из ее участников, не является основанием для изменения цены сделки. Занижение стоимости имущества при его продаже, даже если это и имело место, само по себе не является основанием для признания сделки недействительной (</w:t>
            </w:r>
            <w:hyperlink r:id="rId55">
              <w:r>
                <w:rPr>
                  <w:color w:val="0000FF"/>
                </w:rPr>
                <w:t>Постановление</w:t>
              </w:r>
            </w:hyperlink>
            <w:r>
              <w:t xml:space="preserve"> Пятнадцатого арбитражного апелляционного суда от 04.10.2016 N 15АП-14320/2016 по делу N А32-8209/2016, </w:t>
            </w:r>
            <w:hyperlink r:id="rId56">
              <w:r>
                <w:rPr>
                  <w:color w:val="0000FF"/>
                </w:rPr>
                <w:t>Постановление</w:t>
              </w:r>
            </w:hyperlink>
            <w:r>
              <w:t xml:space="preserve"> Одиннадцатого арбитражного апелляционного суда от 30.11.2018 N 11АП-16281/2018 по делу N А65-19019/2018 (</w:t>
            </w:r>
            <w:hyperlink r:id="rId57">
              <w:r>
                <w:rPr>
                  <w:color w:val="0000FF"/>
                </w:rPr>
                <w:t>Постановлением</w:t>
              </w:r>
            </w:hyperlink>
            <w:r>
              <w:t xml:space="preserve"> Арбитражного суда Поволжского округа от 21.03.2019 N Ф06-44102/2019 данное </w:t>
            </w:r>
            <w:hyperlink r:id="rId58">
              <w:r>
                <w:rPr>
                  <w:color w:val="0000FF"/>
                </w:rPr>
                <w:t>Постановление</w:t>
              </w:r>
            </w:hyperlink>
            <w:r>
              <w:t xml:space="preserve"> оставлено без изменения)).</w:t>
            </w:r>
          </w:p>
          <w:p w:rsidR="00FD11BC" w:rsidRPr="00FD11BC" w:rsidRDefault="00FD11BC" w:rsidP="00FD11BC">
            <w:pPr>
              <w:pStyle w:val="ConsPlusNormal"/>
              <w:ind w:firstLine="540"/>
              <w:jc w:val="both"/>
              <w:rPr>
                <w:b/>
              </w:rPr>
            </w:pPr>
            <w:r w:rsidRPr="00FD11BC">
              <w:rPr>
                <w:b/>
              </w:rPr>
              <w:t>Определение цены в договоре купли-продажи доли в уставном капитале общества с ограниченной ответственностью производится соглашением сторон, поэтому цена в договоре купли-продажи не обязательно должна соответствовать действительной стоимости отчуждаемой доли в уставном капитале, цена доли может быть как выше, так и ниже действительной стоимости, поскольку на определение сторонами цены влияет множество обстоятельств: взаимоотношения сторон как личные, так и деловые, финансовое состояние каждой из сторон и другие обстоятельства (</w:t>
            </w:r>
            <w:hyperlink r:id="rId59">
              <w:r w:rsidRPr="00FD11BC">
                <w:rPr>
                  <w:b/>
                  <w:color w:val="0000FF"/>
                </w:rPr>
                <w:t>Постановление</w:t>
              </w:r>
            </w:hyperlink>
            <w:r w:rsidRPr="00FD11BC">
              <w:rPr>
                <w:b/>
              </w:rPr>
              <w:t xml:space="preserve"> Арбитражного суда Центрального округа от 20.12.2019 N Ф10-5812/2019 по делу N А09-1363/2019 (</w:t>
            </w:r>
            <w:hyperlink r:id="rId60">
              <w:r w:rsidRPr="00FD11BC">
                <w:rPr>
                  <w:b/>
                  <w:color w:val="0000FF"/>
                </w:rPr>
                <w:t>Определением</w:t>
              </w:r>
            </w:hyperlink>
            <w:r w:rsidRPr="00FD11BC">
              <w:rPr>
                <w:b/>
              </w:rPr>
              <w:t xml:space="preserve"> Верховного Суда РФ от 07.04.2020 N 310-ЭС20-3844 отказано в передаче дела N А09-1363/2019 в Судебную коллегию по экономическим спорам Верховного Суда РФ для пересмотра в порядке кассационного производства данного </w:t>
            </w:r>
            <w:hyperlink r:id="rId61">
              <w:r w:rsidRPr="00FD11BC">
                <w:rPr>
                  <w:b/>
                  <w:color w:val="0000FF"/>
                </w:rPr>
                <w:t>Постановления</w:t>
              </w:r>
            </w:hyperlink>
            <w:r w:rsidRPr="00FD11BC">
              <w:rPr>
                <w:b/>
              </w:rPr>
              <w:t>)).</w:t>
            </w:r>
          </w:p>
          <w:p w:rsidR="00C22AE6" w:rsidRPr="00F936F8" w:rsidRDefault="00325329" w:rsidP="00325329">
            <w:pPr>
              <w:pStyle w:val="ConsPlusNormal"/>
              <w:ind w:firstLine="540"/>
              <w:jc w:val="both"/>
              <w:rPr>
                <w:b/>
              </w:rPr>
            </w:pPr>
            <w:r>
              <w:t>……..</w:t>
            </w:r>
          </w:p>
        </w:tc>
      </w:tr>
    </w:tbl>
    <w:p w:rsidR="00325329" w:rsidRPr="00325329" w:rsidRDefault="00C22AE6" w:rsidP="00325329">
      <w:pPr>
        <w:pStyle w:val="ConsPlusNormal"/>
        <w:ind w:firstLine="567"/>
        <w:rPr>
          <w:sz w:val="18"/>
          <w:szCs w:val="18"/>
        </w:rPr>
      </w:pPr>
      <w:r>
        <w:rPr>
          <w:b/>
        </w:rPr>
        <w:lastRenderedPageBreak/>
        <w:t xml:space="preserve"> Источник:</w:t>
      </w:r>
      <w:r>
        <w:t xml:space="preserve"> </w:t>
      </w:r>
      <w:hyperlink r:id="rId62">
        <w:r w:rsidR="00325329" w:rsidRPr="00325329">
          <w:rPr>
            <w:i/>
            <w:color w:val="0000FF"/>
            <w:sz w:val="18"/>
            <w:szCs w:val="18"/>
          </w:rPr>
          <w:br/>
          <w:t xml:space="preserve">{Вопрос: Правомерно ли оспаривание сделки по отчуждению доли в уставном капитале по основанию несоответствия цены доли ее действительной (рыночной) стоимости? (Подготовлен для системы </w:t>
        </w:r>
        <w:proofErr w:type="spellStart"/>
        <w:r w:rsidR="00325329" w:rsidRPr="00325329">
          <w:rPr>
            <w:i/>
            <w:color w:val="0000FF"/>
            <w:sz w:val="18"/>
            <w:szCs w:val="18"/>
          </w:rPr>
          <w:t>КонсультантПлюс</w:t>
        </w:r>
        <w:proofErr w:type="spellEnd"/>
        <w:r w:rsidR="00325329" w:rsidRPr="00325329">
          <w:rPr>
            <w:i/>
            <w:color w:val="0000FF"/>
            <w:sz w:val="18"/>
            <w:szCs w:val="18"/>
          </w:rPr>
          <w:t>, 2024) {</w:t>
        </w:r>
        <w:proofErr w:type="spellStart"/>
        <w:r w:rsidR="00325329" w:rsidRPr="00325329">
          <w:rPr>
            <w:i/>
            <w:color w:val="0000FF"/>
            <w:sz w:val="18"/>
            <w:szCs w:val="18"/>
          </w:rPr>
          <w:t>КонсультантПлюс</w:t>
        </w:r>
        <w:proofErr w:type="spellEnd"/>
        <w:r w:rsidR="00325329" w:rsidRPr="00325329">
          <w:rPr>
            <w:i/>
            <w:color w:val="0000FF"/>
            <w:sz w:val="18"/>
            <w:szCs w:val="18"/>
          </w:rPr>
          <w:t>}}</w:t>
        </w:r>
      </w:hyperlink>
      <w:r w:rsidR="00325329" w:rsidRPr="00325329">
        <w:rPr>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C22AE6" w:rsidTr="006C5738">
        <w:tc>
          <w:tcPr>
            <w:tcW w:w="11340" w:type="dxa"/>
            <w:tcBorders>
              <w:top w:val="nil"/>
              <w:left w:val="single" w:sz="24" w:space="0" w:color="FE9500"/>
              <w:bottom w:val="nil"/>
              <w:right w:val="nil"/>
            </w:tcBorders>
            <w:shd w:val="clear" w:color="auto" w:fill="F2F4E6"/>
          </w:tcPr>
          <w:p w:rsidR="00325329" w:rsidRDefault="00325329" w:rsidP="00325329">
            <w:pPr>
              <w:spacing w:after="0" w:line="220" w:lineRule="auto"/>
              <w:ind w:firstLine="525"/>
              <w:jc w:val="both"/>
            </w:pPr>
            <w:r w:rsidRPr="00325329">
              <w:rPr>
                <w:rFonts w:ascii="Calibri" w:hAnsi="Calibri" w:cs="Calibri"/>
                <w:b/>
              </w:rPr>
              <w:t>Физлицо, владевшее долей больше пяти лет, НДФЛ при ее продаже не платит.</w:t>
            </w:r>
            <w:r>
              <w:rPr>
                <w:rFonts w:ascii="Calibri" w:hAnsi="Calibri" w:cs="Calibri"/>
              </w:rPr>
              <w:t xml:space="preserve"> Если срок владения меньше, участник сам считает налог и подает декларацию 3-НДФЛ. Доход от продажи доли можно уменьшить на затраты по ее приобретению или на фиксированный вычет 250 000 руб. (</w:t>
            </w:r>
            <w:hyperlink r:id="rId63">
              <w:r>
                <w:rPr>
                  <w:rFonts w:ascii="Calibri" w:hAnsi="Calibri" w:cs="Calibri"/>
                  <w:color w:val="0000FF"/>
                </w:rPr>
                <w:t>ст. 220</w:t>
              </w:r>
            </w:hyperlink>
            <w:r>
              <w:rPr>
                <w:rFonts w:ascii="Calibri" w:hAnsi="Calibri" w:cs="Calibri"/>
              </w:rPr>
              <w:t xml:space="preserve"> НК РФ, </w:t>
            </w:r>
            <w:hyperlink r:id="rId64">
              <w:r>
                <w:rPr>
                  <w:rFonts w:ascii="Calibri" w:hAnsi="Calibri" w:cs="Calibri"/>
                  <w:color w:val="0000FF"/>
                </w:rPr>
                <w:t>Письмо</w:t>
              </w:r>
            </w:hyperlink>
            <w:r>
              <w:rPr>
                <w:rFonts w:ascii="Calibri" w:hAnsi="Calibri" w:cs="Calibri"/>
              </w:rPr>
              <w:t xml:space="preserve"> ФНС от 11.03.2021 N СД-4-11/3112@).</w:t>
            </w:r>
          </w:p>
          <w:p w:rsidR="00325329" w:rsidRDefault="00325329" w:rsidP="00325329">
            <w:pPr>
              <w:spacing w:after="0" w:line="220" w:lineRule="auto"/>
              <w:ind w:firstLine="525"/>
              <w:jc w:val="both"/>
            </w:pPr>
            <w:r>
              <w:rPr>
                <w:rFonts w:ascii="Calibri" w:hAnsi="Calibri" w:cs="Calibri"/>
                <w:b/>
              </w:rPr>
              <w:t>Организация, купившая долю физлица</w:t>
            </w:r>
            <w:r>
              <w:rPr>
                <w:rFonts w:ascii="Calibri" w:hAnsi="Calibri" w:cs="Calibri"/>
              </w:rPr>
              <w:t xml:space="preserve"> в ООО, налоговым агентом не является, считать и удерживать НДФЛ не должна (</w:t>
            </w:r>
            <w:hyperlink r:id="rId65">
              <w:r>
                <w:rPr>
                  <w:rFonts w:ascii="Calibri" w:hAnsi="Calibri" w:cs="Calibri"/>
                  <w:color w:val="0000FF"/>
                </w:rPr>
                <w:t>Письмо</w:t>
              </w:r>
            </w:hyperlink>
            <w:r>
              <w:rPr>
                <w:rFonts w:ascii="Calibri" w:hAnsi="Calibri" w:cs="Calibri"/>
              </w:rPr>
              <w:t xml:space="preserve"> Минфина от 07.11.2016 N 03-04-06/64995).</w:t>
            </w:r>
          </w:p>
          <w:p w:rsidR="00325329" w:rsidRPr="00325329" w:rsidRDefault="00325329" w:rsidP="00325329">
            <w:pPr>
              <w:spacing w:after="0" w:line="220" w:lineRule="auto"/>
              <w:ind w:firstLine="525"/>
              <w:jc w:val="both"/>
              <w:rPr>
                <w:b/>
              </w:rPr>
            </w:pPr>
            <w:r w:rsidRPr="00325329">
              <w:rPr>
                <w:rFonts w:ascii="Calibri" w:hAnsi="Calibri" w:cs="Calibri"/>
                <w:b/>
              </w:rPr>
              <w:t xml:space="preserve">ООО продажу доли в своем уставном капитале одним участником другому или третьему лицу отражает проводками в аналитическом учете по </w:t>
            </w:r>
            <w:hyperlink r:id="rId66">
              <w:r w:rsidRPr="00325329">
                <w:rPr>
                  <w:rFonts w:ascii="Calibri" w:hAnsi="Calibri" w:cs="Calibri"/>
                  <w:b/>
                  <w:color w:val="0000FF"/>
                </w:rPr>
                <w:t>счету 80</w:t>
              </w:r>
            </w:hyperlink>
            <w:r w:rsidRPr="00325329">
              <w:rPr>
                <w:rFonts w:ascii="Calibri" w:hAnsi="Calibri" w:cs="Calibri"/>
                <w:b/>
              </w:rPr>
              <w:t>. В налоговом учете не будет ни доходов, ни расходов.</w:t>
            </w:r>
          </w:p>
          <w:p w:rsidR="00325329" w:rsidRDefault="00325329" w:rsidP="00325329">
            <w:pPr>
              <w:spacing w:after="0" w:line="220" w:lineRule="auto"/>
              <w:ind w:firstLine="525"/>
              <w:jc w:val="both"/>
              <w:rPr>
                <w:rFonts w:ascii="Calibri" w:hAnsi="Calibri" w:cs="Calibri"/>
              </w:rPr>
            </w:pPr>
            <w:r>
              <w:rPr>
                <w:rFonts w:ascii="Calibri" w:hAnsi="Calibri" w:cs="Calibri"/>
              </w:rPr>
              <w:t>…….</w:t>
            </w:r>
          </w:p>
          <w:p w:rsidR="00C22AE6" w:rsidRPr="00325329" w:rsidRDefault="00325329" w:rsidP="00325329">
            <w:pPr>
              <w:spacing w:after="0" w:line="220" w:lineRule="auto"/>
              <w:ind w:firstLine="525"/>
              <w:jc w:val="both"/>
              <w:rPr>
                <w:b/>
              </w:rPr>
            </w:pPr>
            <w:r w:rsidRPr="00325329">
              <w:rPr>
                <w:rFonts w:ascii="Calibri" w:hAnsi="Calibri" w:cs="Calibri"/>
                <w:b/>
              </w:rPr>
              <w:t>Д 80.09.субконто "ООО" - К 80.09.субконто "участник" - номинальная стоимость проданной доли</w:t>
            </w:r>
          </w:p>
        </w:tc>
      </w:tr>
    </w:tbl>
    <w:p w:rsidR="00325329" w:rsidRPr="00325329" w:rsidRDefault="00C22AE6" w:rsidP="00325329">
      <w:pPr>
        <w:spacing w:after="0" w:line="220" w:lineRule="auto"/>
        <w:ind w:firstLine="567"/>
        <w:rPr>
          <w:sz w:val="18"/>
          <w:szCs w:val="18"/>
        </w:rPr>
      </w:pPr>
      <w:r>
        <w:rPr>
          <w:b/>
        </w:rPr>
        <w:t xml:space="preserve"> Источник:</w:t>
      </w:r>
      <w:r>
        <w:t xml:space="preserve"> </w:t>
      </w:r>
      <w:hyperlink r:id="rId67">
        <w:r w:rsidR="00325329" w:rsidRPr="00325329">
          <w:rPr>
            <w:rFonts w:ascii="Calibri" w:hAnsi="Calibri" w:cs="Calibri"/>
            <w:i/>
            <w:color w:val="0000FF"/>
            <w:sz w:val="18"/>
            <w:szCs w:val="18"/>
          </w:rPr>
          <w:br/>
          <w:t>{Типовая ситуация: Как учесть продажу доли в уставном капитале ООО (Издательство "Главная книга", 2024) {</w:t>
        </w:r>
        <w:proofErr w:type="spellStart"/>
        <w:r w:rsidR="00325329" w:rsidRPr="00325329">
          <w:rPr>
            <w:rFonts w:ascii="Calibri" w:hAnsi="Calibri" w:cs="Calibri"/>
            <w:i/>
            <w:color w:val="0000FF"/>
            <w:sz w:val="18"/>
            <w:szCs w:val="18"/>
          </w:rPr>
          <w:t>КонсультантПлюс</w:t>
        </w:r>
        <w:proofErr w:type="spellEnd"/>
        <w:r w:rsidR="00325329" w:rsidRPr="00325329">
          <w:rPr>
            <w:rFonts w:ascii="Calibri" w:hAnsi="Calibri" w:cs="Calibri"/>
            <w:i/>
            <w:color w:val="0000FF"/>
            <w:sz w:val="18"/>
            <w:szCs w:val="18"/>
          </w:rPr>
          <w:t>}}</w:t>
        </w:r>
      </w:hyperlink>
      <w:r w:rsidR="00325329" w:rsidRPr="00325329">
        <w:rPr>
          <w:rFonts w:ascii="Calibri" w:hAnsi="Calibri" w:cs="Calibri"/>
          <w:sz w:val="18"/>
          <w:szCs w:val="18"/>
        </w:rPr>
        <w:br/>
      </w:r>
    </w:p>
    <w:p w:rsidR="00C22AE6" w:rsidRDefault="00C22AE6" w:rsidP="00503822">
      <w:pPr>
        <w:spacing w:after="0" w:line="220" w:lineRule="auto"/>
        <w:ind w:firstLine="567"/>
        <w:rPr>
          <w:b/>
        </w:rPr>
      </w:pPr>
      <w:r>
        <w:rPr>
          <w:b/>
        </w:rPr>
        <w:t xml:space="preserve">Для </w:t>
      </w:r>
      <w:proofErr w:type="gramStart"/>
      <w:r>
        <w:rPr>
          <w:b/>
        </w:rPr>
        <w:t>поиска  информации</w:t>
      </w:r>
      <w:proofErr w:type="gramEnd"/>
      <w:r>
        <w:rPr>
          <w:b/>
        </w:rPr>
        <w:t xml:space="preserve"> по вопросу использовались ключевые слова в строке «быстрый поиск»:</w:t>
      </w:r>
    </w:p>
    <w:p w:rsidR="00C22AE6" w:rsidRPr="007F2EF4" w:rsidRDefault="00C22AE6" w:rsidP="00503822">
      <w:pPr>
        <w:pStyle w:val="ConsPlusNormal"/>
        <w:jc w:val="center"/>
        <w:rPr>
          <w:rFonts w:asciiTheme="minorHAnsi" w:hAnsiTheme="minorHAnsi"/>
          <w:b/>
          <w:color w:val="FF0000"/>
        </w:rPr>
      </w:pPr>
      <w:r>
        <w:rPr>
          <w:rFonts w:asciiTheme="minorHAnsi" w:hAnsiTheme="minorHAnsi"/>
          <w:b/>
          <w:color w:val="FF0000"/>
        </w:rPr>
        <w:t>«</w:t>
      </w:r>
      <w:r w:rsidR="001D2FE2" w:rsidRPr="001D2FE2">
        <w:rPr>
          <w:rFonts w:asciiTheme="minorHAnsi" w:hAnsiTheme="minorHAnsi"/>
          <w:b/>
          <w:color w:val="FF0000"/>
        </w:rPr>
        <w:t>НДФЛ продажа доли в ООО выше номинальной стоимости</w:t>
      </w:r>
      <w:r w:rsidRPr="007F2EF4">
        <w:rPr>
          <w:rFonts w:asciiTheme="minorHAnsi" w:hAnsiTheme="minorHAnsi"/>
          <w:b/>
          <w:color w:val="FF0000"/>
        </w:rPr>
        <w:t>»</w:t>
      </w:r>
    </w:p>
    <w:p w:rsidR="00C22AE6" w:rsidRPr="00A23A34" w:rsidRDefault="00C22AE6" w:rsidP="00503822">
      <w:pPr>
        <w:autoSpaceDE w:val="0"/>
        <w:autoSpaceDN w:val="0"/>
        <w:adjustRightInd w:val="0"/>
        <w:spacing w:after="0" w:line="240" w:lineRule="auto"/>
        <w:jc w:val="center"/>
        <w:rPr>
          <w:b/>
        </w:rPr>
      </w:pPr>
      <w:r w:rsidRPr="00A23A34">
        <w:rPr>
          <w:b/>
        </w:rPr>
        <w:t>Поиск информации осуществлялся  при  помощи  «i</w:t>
      </w:r>
      <w:r w:rsidRPr="00A23A34">
        <w:t xml:space="preserve">» </w:t>
      </w:r>
      <w:r w:rsidRPr="009E7D42">
        <w:rPr>
          <w:b/>
        </w:rPr>
        <w:t xml:space="preserve">к </w:t>
      </w:r>
      <w:hyperlink r:id="rId68">
        <w:r w:rsidRPr="00614045">
          <w:rPr>
            <w:b/>
            <w:color w:val="0000FF"/>
          </w:rPr>
          <w:t>п. 17.2 ст. 217</w:t>
        </w:r>
      </w:hyperlink>
      <w:r w:rsidRPr="00614045">
        <w:rPr>
          <w:b/>
        </w:rPr>
        <w:t xml:space="preserve"> НК РФ</w:t>
      </w:r>
      <w:r w:rsidRPr="003B0F69">
        <w:rPr>
          <w:b/>
        </w:rPr>
        <w:t xml:space="preserve"> с</w:t>
      </w:r>
      <w:r w:rsidRPr="00A23A34">
        <w:rPr>
          <w:b/>
        </w:rPr>
        <w:t xml:space="preserve"> последующим уточнением.</w:t>
      </w:r>
    </w:p>
    <w:p w:rsidR="00C22AE6" w:rsidRPr="00366919" w:rsidRDefault="00C22AE6" w:rsidP="00503822">
      <w:pPr>
        <w:spacing w:after="0" w:line="220" w:lineRule="atLeast"/>
        <w:jc w:val="center"/>
        <w:rPr>
          <w:b/>
        </w:rPr>
      </w:pPr>
      <w:r>
        <w:rPr>
          <w:noProof/>
          <w:lang w:eastAsia="ru-RU"/>
        </w:rPr>
        <w:lastRenderedPageBreak/>
        <mc:AlternateContent>
          <mc:Choice Requires="wps">
            <w:drawing>
              <wp:anchor distT="0" distB="0" distL="114300" distR="114300" simplePos="0" relativeHeight="251659264" behindDoc="0" locked="0" layoutInCell="1" allowOverlap="1" wp14:anchorId="69CAF601" wp14:editId="2A4C8025">
                <wp:simplePos x="0" y="0"/>
                <wp:positionH relativeFrom="column">
                  <wp:posOffset>1875333</wp:posOffset>
                </wp:positionH>
                <wp:positionV relativeFrom="paragraph">
                  <wp:posOffset>617626</wp:posOffset>
                </wp:positionV>
                <wp:extent cx="409575" cy="152400"/>
                <wp:effectExtent l="38100" t="19050" r="9525" b="38100"/>
                <wp:wrapNone/>
                <wp:docPr id="20" name="Стрелка вправо с вырезом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52400"/>
                        </a:xfrm>
                        <a:prstGeom prst="notchedRightArrow">
                          <a:avLst>
                            <a:gd name="adj1" fmla="val 50000"/>
                            <a:gd name="adj2" fmla="val 67188"/>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50AE7"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20" o:spid="_x0000_s1026" type="#_x0000_t94" style="position:absolute;margin-left:147.65pt;margin-top:48.65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" fillcolor="#00b050"/>
            </w:pict>
          </mc:Fallback>
        </mc:AlternateContent>
      </w:r>
      <w:r>
        <w:rPr>
          <w:noProof/>
          <w:lang w:eastAsia="ru-RU"/>
        </w:rPr>
        <w:drawing>
          <wp:inline distT="0" distB="0" distL="0" distR="0" wp14:anchorId="53DCE7FA" wp14:editId="5CBC482C">
            <wp:extent cx="2716682" cy="1528194"/>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720123" cy="1530129"/>
                    </a:xfrm>
                    <a:prstGeom prst="rect">
                      <a:avLst/>
                    </a:prstGeom>
                  </pic:spPr>
                </pic:pic>
              </a:graphicData>
            </a:graphic>
          </wp:inline>
        </w:drawing>
      </w:r>
    </w:p>
    <w:p w:rsidR="00C22AE6" w:rsidRDefault="00C22AE6" w:rsidP="00503822">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rsidR="00C22AE6" w:rsidRDefault="00C22AE6" w:rsidP="00503822">
      <w:pPr>
        <w:pStyle w:val="ConsPlusNormal"/>
        <w:jc w:val="center"/>
        <w:rPr>
          <w:b/>
          <w:sz w:val="38"/>
        </w:rPr>
      </w:pPr>
      <w:r>
        <w:rPr>
          <w:b/>
          <w:sz w:val="38"/>
        </w:rPr>
        <w:t>Полезные документы:</w:t>
      </w:r>
    </w:p>
    <w:p w:rsidR="001911A1" w:rsidRDefault="00BA51D1" w:rsidP="00503822">
      <w:pPr>
        <w:spacing w:after="0" w:line="220" w:lineRule="auto"/>
      </w:pPr>
      <w:hyperlink r:id="rId70">
        <w:r w:rsidR="001911A1">
          <w:rPr>
            <w:rFonts w:ascii="Calibri" w:hAnsi="Calibri" w:cs="Calibri"/>
            <w:i/>
            <w:color w:val="0000FF"/>
          </w:rPr>
          <w:br/>
          <w:t>{Типовая ситуация: Как учесть продажу доли в уставном капитале ООО (Издательство "Главная книга", 2024) {</w:t>
        </w:r>
        <w:proofErr w:type="spellStart"/>
        <w:r w:rsidR="001911A1">
          <w:rPr>
            <w:rFonts w:ascii="Calibri" w:hAnsi="Calibri" w:cs="Calibri"/>
            <w:i/>
            <w:color w:val="0000FF"/>
          </w:rPr>
          <w:t>КонсультантПлюс</w:t>
        </w:r>
        <w:proofErr w:type="spellEnd"/>
        <w:r w:rsidR="001911A1">
          <w:rPr>
            <w:rFonts w:ascii="Calibri" w:hAnsi="Calibri" w:cs="Calibri"/>
            <w:i/>
            <w:color w:val="0000FF"/>
          </w:rPr>
          <w:t>}}</w:t>
        </w:r>
      </w:hyperlink>
      <w:r w:rsidR="001911A1">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1D2FE2">
        <w:tc>
          <w:tcPr>
            <w:tcW w:w="60" w:type="dxa"/>
            <w:tcBorders>
              <w:top w:val="nil"/>
              <w:left w:val="nil"/>
              <w:bottom w:val="nil"/>
              <w:right w:val="nil"/>
            </w:tcBorders>
            <w:shd w:val="clear" w:color="auto" w:fill="CED3F1"/>
            <w:tcMar>
              <w:top w:w="0" w:type="dxa"/>
              <w:left w:w="0" w:type="dxa"/>
              <w:bottom w:w="0" w:type="dxa"/>
              <w:right w:w="0" w:type="dxa"/>
            </w:tcMar>
          </w:tcPr>
          <w:p w:rsidR="001D2FE2" w:rsidRDefault="001D2FE2" w:rsidP="00503822">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1D2FE2" w:rsidRDefault="001D2FE2" w:rsidP="00503822">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1D2FE2" w:rsidRDefault="001D2FE2" w:rsidP="00503822">
            <w:pPr>
              <w:spacing w:after="0" w:line="220" w:lineRule="auto"/>
              <w:jc w:val="right"/>
            </w:pPr>
            <w:r>
              <w:rPr>
                <w:rFonts w:ascii="Calibri" w:hAnsi="Calibri" w:cs="Calibri"/>
                <w:color w:val="392C69"/>
              </w:rPr>
              <w:t xml:space="preserve">Издательство </w:t>
            </w:r>
            <w:hyperlink r:id="rId71">
              <w:r>
                <w:rPr>
                  <w:rFonts w:ascii="Calibri" w:hAnsi="Calibri" w:cs="Calibri"/>
                  <w:color w:val="0000FF"/>
                </w:rPr>
                <w:t>"Главная книга"</w:t>
              </w:r>
            </w:hyperlink>
            <w:r>
              <w:rPr>
                <w:rFonts w:ascii="Calibri" w:hAnsi="Calibri" w:cs="Calibri"/>
                <w:color w:val="392C69"/>
              </w:rPr>
              <w:t xml:space="preserve"> | </w:t>
            </w:r>
            <w:r>
              <w:rPr>
                <w:rFonts w:ascii="Calibri" w:hAnsi="Calibri" w:cs="Calibri"/>
                <w:b/>
                <w:color w:val="392C69"/>
              </w:rPr>
              <w:t>Актуально на 12.11.2024</w:t>
            </w:r>
          </w:p>
        </w:tc>
        <w:tc>
          <w:tcPr>
            <w:tcW w:w="113" w:type="dxa"/>
            <w:tcBorders>
              <w:top w:val="nil"/>
              <w:left w:val="nil"/>
              <w:bottom w:val="nil"/>
              <w:right w:val="nil"/>
            </w:tcBorders>
            <w:shd w:val="clear" w:color="auto" w:fill="F4F3F8"/>
            <w:tcMar>
              <w:top w:w="0" w:type="dxa"/>
              <w:left w:w="0" w:type="dxa"/>
              <w:bottom w:w="0" w:type="dxa"/>
              <w:right w:w="0" w:type="dxa"/>
            </w:tcMar>
          </w:tcPr>
          <w:p w:rsidR="001D2FE2" w:rsidRDefault="001D2FE2" w:rsidP="00503822">
            <w:pPr>
              <w:spacing w:after="0"/>
            </w:pPr>
          </w:p>
        </w:tc>
      </w:tr>
    </w:tbl>
    <w:p w:rsidR="001D2FE2" w:rsidRDefault="001D2FE2" w:rsidP="00503822">
      <w:pPr>
        <w:spacing w:after="0" w:line="220" w:lineRule="auto"/>
      </w:pPr>
      <w:r>
        <w:rPr>
          <w:rFonts w:ascii="Calibri" w:hAnsi="Calibri" w:cs="Calibri"/>
          <w:b/>
          <w:sz w:val="38"/>
        </w:rPr>
        <w:t>Как учесть продажу доли в уставном капитале ООО</w:t>
      </w:r>
    </w:p>
    <w:p w:rsidR="001D2FE2" w:rsidRDefault="001D2FE2" w:rsidP="00503822">
      <w:pPr>
        <w:spacing w:after="0" w:line="220" w:lineRule="auto"/>
        <w:jc w:val="both"/>
      </w:pPr>
      <w:r>
        <w:rPr>
          <w:rFonts w:ascii="Calibri" w:hAnsi="Calibri" w:cs="Calibri"/>
          <w:b/>
        </w:rPr>
        <w:t>Организация-участник, продавшая долю</w:t>
      </w:r>
      <w:r>
        <w:rPr>
          <w:rFonts w:ascii="Calibri" w:hAnsi="Calibri" w:cs="Calibri"/>
        </w:rPr>
        <w:t xml:space="preserve"> другому участнику или третьему лицу</w:t>
      </w:r>
      <w:r>
        <w:rPr>
          <w:rFonts w:ascii="Calibri" w:hAnsi="Calibri" w:cs="Calibri"/>
          <w:b/>
        </w:rPr>
        <w:t>,</w:t>
      </w:r>
      <w:r>
        <w:rPr>
          <w:rFonts w:ascii="Calibri" w:hAnsi="Calibri" w:cs="Calibri"/>
        </w:rPr>
        <w:t xml:space="preserve"> в налоговом учете включает в доходы выручку от продажи доли, а в расходы - ее стоимость, а также ранее внесенные и не возвращенные денежные вклады в имущество ООО. Если вы владели долей больше 5 лет и активы ООО состоят из российской недвижимости не более, чем на 50%, к прибыли от продажи доли применяйте ставку 0%. В остальных случаях - считайте налог по </w:t>
      </w:r>
      <w:hyperlink r:id="rId72">
        <w:r>
          <w:rPr>
            <w:rFonts w:ascii="Calibri" w:hAnsi="Calibri" w:cs="Calibri"/>
            <w:color w:val="0000FF"/>
          </w:rPr>
          <w:t>общей ставке</w:t>
        </w:r>
      </w:hyperlink>
      <w:r>
        <w:rPr>
          <w:rFonts w:ascii="Calibri" w:hAnsi="Calibri" w:cs="Calibri"/>
        </w:rPr>
        <w:t xml:space="preserve"> (</w:t>
      </w:r>
      <w:hyperlink r:id="rId73">
        <w:r>
          <w:rPr>
            <w:rFonts w:ascii="Calibri" w:hAnsi="Calibri" w:cs="Calibri"/>
            <w:color w:val="0000FF"/>
          </w:rPr>
          <w:t>ст. ст. 268</w:t>
        </w:r>
      </w:hyperlink>
      <w:r>
        <w:rPr>
          <w:rFonts w:ascii="Calibri" w:hAnsi="Calibri" w:cs="Calibri"/>
        </w:rPr>
        <w:t xml:space="preserve">, </w:t>
      </w:r>
      <w:hyperlink r:id="rId74">
        <w:r>
          <w:rPr>
            <w:rFonts w:ascii="Calibri" w:hAnsi="Calibri" w:cs="Calibri"/>
            <w:color w:val="0000FF"/>
          </w:rPr>
          <w:t>284.2</w:t>
        </w:r>
      </w:hyperlink>
      <w:r>
        <w:rPr>
          <w:rFonts w:ascii="Calibri" w:hAnsi="Calibri" w:cs="Calibri"/>
        </w:rPr>
        <w:t xml:space="preserve"> НК РФ).</w:t>
      </w:r>
    </w:p>
    <w:p w:rsidR="001D2FE2" w:rsidRDefault="001D2FE2" w:rsidP="00503822">
      <w:pPr>
        <w:spacing w:after="0" w:line="220" w:lineRule="auto"/>
        <w:jc w:val="both"/>
      </w:pPr>
      <w:r>
        <w:rPr>
          <w:rFonts w:ascii="Calibri" w:hAnsi="Calibri" w:cs="Calibri"/>
        </w:rPr>
        <w:t>Продажа доли НДС не облагается (</w:t>
      </w:r>
      <w:hyperlink r:id="rId75">
        <w:r>
          <w:rPr>
            <w:rFonts w:ascii="Calibri" w:hAnsi="Calibri" w:cs="Calibri"/>
            <w:color w:val="0000FF"/>
          </w:rPr>
          <w:t>ст. 149</w:t>
        </w:r>
      </w:hyperlink>
      <w:r>
        <w:rPr>
          <w:rFonts w:ascii="Calibri" w:hAnsi="Calibri" w:cs="Calibri"/>
        </w:rPr>
        <w:t xml:space="preserve"> НК РФ).</w:t>
      </w:r>
    </w:p>
    <w:p w:rsidR="001D2FE2" w:rsidRDefault="001D2FE2" w:rsidP="00503822">
      <w:pPr>
        <w:spacing w:after="0" w:line="220" w:lineRule="auto"/>
        <w:jc w:val="both"/>
      </w:pPr>
      <w:r>
        <w:rPr>
          <w:rFonts w:ascii="Calibri" w:hAnsi="Calibri" w:cs="Calibri"/>
        </w:rPr>
        <w:t>Проводки: Д 76 - К 91.01 - доход от продажи доли; Д 91.02 - К 58.01 - стоимость проданной доли.</w:t>
      </w:r>
    </w:p>
    <w:p w:rsidR="001D2FE2" w:rsidRDefault="001D2FE2" w:rsidP="00503822">
      <w:pPr>
        <w:spacing w:after="0" w:line="220" w:lineRule="auto"/>
        <w:jc w:val="both"/>
      </w:pPr>
      <w:r>
        <w:rPr>
          <w:rFonts w:ascii="Calibri" w:hAnsi="Calibri" w:cs="Calibri"/>
          <w:b/>
        </w:rPr>
        <w:t>Физлицо</w:t>
      </w:r>
      <w:r>
        <w:rPr>
          <w:rFonts w:ascii="Calibri" w:hAnsi="Calibri" w:cs="Calibri"/>
        </w:rPr>
        <w:t>, владевшее долей больше пяти лет, НДФЛ при ее продаже не платит. Если срок владения меньше, участник сам считает налог и подает декларацию 3-НДФЛ. Доход от продажи доли можно уменьшить на затраты по ее приобретению или на фиксированный вычет 250 000 руб. (</w:t>
      </w:r>
      <w:hyperlink r:id="rId76">
        <w:r>
          <w:rPr>
            <w:rFonts w:ascii="Calibri" w:hAnsi="Calibri" w:cs="Calibri"/>
            <w:color w:val="0000FF"/>
          </w:rPr>
          <w:t>ст. 220</w:t>
        </w:r>
      </w:hyperlink>
      <w:r>
        <w:rPr>
          <w:rFonts w:ascii="Calibri" w:hAnsi="Calibri" w:cs="Calibri"/>
        </w:rPr>
        <w:t xml:space="preserve"> НК РФ, </w:t>
      </w:r>
      <w:hyperlink r:id="rId77">
        <w:r>
          <w:rPr>
            <w:rFonts w:ascii="Calibri" w:hAnsi="Calibri" w:cs="Calibri"/>
            <w:color w:val="0000FF"/>
          </w:rPr>
          <w:t>Письмо</w:t>
        </w:r>
      </w:hyperlink>
      <w:r>
        <w:rPr>
          <w:rFonts w:ascii="Calibri" w:hAnsi="Calibri" w:cs="Calibri"/>
        </w:rPr>
        <w:t xml:space="preserve"> ФНС от 11.03.2021 N СД-4-11/3112@).</w:t>
      </w:r>
    </w:p>
    <w:p w:rsidR="001D2FE2" w:rsidRDefault="001D2FE2" w:rsidP="00503822">
      <w:pPr>
        <w:spacing w:after="0" w:line="220" w:lineRule="auto"/>
        <w:jc w:val="both"/>
      </w:pPr>
      <w:r>
        <w:rPr>
          <w:rFonts w:ascii="Calibri" w:hAnsi="Calibri" w:cs="Calibri"/>
          <w:b/>
        </w:rPr>
        <w:t>Организация, купившая долю физлица</w:t>
      </w:r>
      <w:r>
        <w:rPr>
          <w:rFonts w:ascii="Calibri" w:hAnsi="Calibri" w:cs="Calibri"/>
        </w:rPr>
        <w:t xml:space="preserve"> в ООО, налоговым агентом не является, считать и удерживать НДФЛ не должна (</w:t>
      </w:r>
      <w:hyperlink r:id="rId78">
        <w:r>
          <w:rPr>
            <w:rFonts w:ascii="Calibri" w:hAnsi="Calibri" w:cs="Calibri"/>
            <w:color w:val="0000FF"/>
          </w:rPr>
          <w:t>Письмо</w:t>
        </w:r>
      </w:hyperlink>
      <w:r>
        <w:rPr>
          <w:rFonts w:ascii="Calibri" w:hAnsi="Calibri" w:cs="Calibri"/>
        </w:rPr>
        <w:t xml:space="preserve"> Минфина от 07.11.2016 N 03-04-06/64995).</w:t>
      </w:r>
    </w:p>
    <w:p w:rsidR="001D2FE2" w:rsidRDefault="001D2FE2" w:rsidP="00503822">
      <w:pPr>
        <w:spacing w:after="0" w:line="220" w:lineRule="auto"/>
        <w:jc w:val="both"/>
      </w:pPr>
      <w:r>
        <w:rPr>
          <w:rFonts w:ascii="Calibri" w:hAnsi="Calibri" w:cs="Calibri"/>
          <w:b/>
        </w:rPr>
        <w:t>ООО</w:t>
      </w:r>
      <w:r>
        <w:rPr>
          <w:rFonts w:ascii="Calibri" w:hAnsi="Calibri" w:cs="Calibri"/>
        </w:rPr>
        <w:t xml:space="preserve"> продажу доли в своем уставном капитале одним участником другому или третьему лицу отражает проводками в аналитическом учете по </w:t>
      </w:r>
      <w:hyperlink r:id="rId79">
        <w:r>
          <w:rPr>
            <w:rFonts w:ascii="Calibri" w:hAnsi="Calibri" w:cs="Calibri"/>
            <w:color w:val="0000FF"/>
          </w:rPr>
          <w:t>счету 80</w:t>
        </w:r>
      </w:hyperlink>
      <w:r>
        <w:rPr>
          <w:rFonts w:ascii="Calibri" w:hAnsi="Calibri" w:cs="Calibri"/>
        </w:rPr>
        <w:t>. В налоговом учете не будет ни доходов, ни расходов.</w:t>
      </w:r>
    </w:p>
    <w:p w:rsidR="001D2FE2" w:rsidRDefault="001D2FE2" w:rsidP="00503822">
      <w:pPr>
        <w:spacing w:after="0" w:line="220" w:lineRule="auto"/>
        <w:jc w:val="both"/>
      </w:pPr>
      <w:r>
        <w:rPr>
          <w:rFonts w:ascii="Calibri" w:hAnsi="Calibri" w:cs="Calibri"/>
        </w:rPr>
        <w:t xml:space="preserve">При продаже участнику или третьему лицу доли, принадлежащей обществу, ООО включает в налоговые доходы суммы, полученные от продажи, в расходы - затраты на </w:t>
      </w:r>
      <w:hyperlink r:id="rId80">
        <w:r>
          <w:rPr>
            <w:rFonts w:ascii="Calibri" w:hAnsi="Calibri" w:cs="Calibri"/>
            <w:color w:val="0000FF"/>
          </w:rPr>
          <w:t>выкуп доли</w:t>
        </w:r>
      </w:hyperlink>
      <w:r>
        <w:rPr>
          <w:rFonts w:ascii="Calibri" w:hAnsi="Calibri" w:cs="Calibri"/>
        </w:rPr>
        <w:t xml:space="preserve"> у вышедшего участника. Проводки (</w:t>
      </w:r>
      <w:hyperlink r:id="rId81">
        <w:r>
          <w:rPr>
            <w:rFonts w:ascii="Calibri" w:hAnsi="Calibri" w:cs="Calibri"/>
            <w:color w:val="0000FF"/>
          </w:rPr>
          <w:t>Письмо</w:t>
        </w:r>
      </w:hyperlink>
      <w:r>
        <w:rPr>
          <w:rFonts w:ascii="Calibri" w:hAnsi="Calibri" w:cs="Calibri"/>
        </w:rPr>
        <w:t xml:space="preserve"> Минфина от 30.04.2020 N 03-03-06/1/35838):</w:t>
      </w:r>
    </w:p>
    <w:p w:rsidR="001D2FE2" w:rsidRDefault="001D2FE2" w:rsidP="00503822">
      <w:pPr>
        <w:spacing w:after="0" w:line="220" w:lineRule="auto"/>
        <w:jc w:val="both"/>
      </w:pPr>
      <w:r>
        <w:rPr>
          <w:rFonts w:ascii="Calibri" w:hAnsi="Calibri" w:cs="Calibri"/>
        </w:rPr>
        <w:t>Д 80.</w:t>
      </w:r>
      <w:proofErr w:type="gramStart"/>
      <w:r>
        <w:rPr>
          <w:rFonts w:ascii="Calibri" w:hAnsi="Calibri" w:cs="Calibri"/>
        </w:rPr>
        <w:t>09.субконто</w:t>
      </w:r>
      <w:proofErr w:type="gramEnd"/>
      <w:r>
        <w:rPr>
          <w:rFonts w:ascii="Calibri" w:hAnsi="Calibri" w:cs="Calibri"/>
        </w:rPr>
        <w:t xml:space="preserve"> "ООО" - К 80.09.субконто "участник" - номинальная стоимость проданной доли</w:t>
      </w:r>
    </w:p>
    <w:p w:rsidR="001D2FE2" w:rsidRDefault="001D2FE2" w:rsidP="00503822">
      <w:pPr>
        <w:spacing w:after="0" w:line="220" w:lineRule="auto"/>
        <w:jc w:val="both"/>
      </w:pPr>
      <w:r>
        <w:rPr>
          <w:rFonts w:ascii="Calibri" w:hAnsi="Calibri" w:cs="Calibri"/>
        </w:rPr>
        <w:t>Д 75.01 - К 81.09 - действительная стоимость доли</w:t>
      </w:r>
    </w:p>
    <w:p w:rsidR="001D2FE2" w:rsidRDefault="001D2FE2" w:rsidP="00503822">
      <w:pPr>
        <w:spacing w:after="0" w:line="220" w:lineRule="auto"/>
        <w:jc w:val="both"/>
      </w:pPr>
      <w:r>
        <w:rPr>
          <w:rFonts w:ascii="Calibri" w:hAnsi="Calibri" w:cs="Calibri"/>
        </w:rPr>
        <w:t>Д 75.01 - К 83.09 - превышение стоимости продажи над действительной стоимостью доли</w:t>
      </w:r>
    </w:p>
    <w:p w:rsidR="001D2FE2" w:rsidRDefault="001D2FE2" w:rsidP="00503822">
      <w:pPr>
        <w:spacing w:after="0" w:line="220" w:lineRule="auto"/>
        <w:jc w:val="both"/>
      </w:pPr>
      <w:r>
        <w:rPr>
          <w:rFonts w:ascii="Calibri" w:hAnsi="Calibri" w:cs="Calibri"/>
        </w:rPr>
        <w:t>Д 51 - К 75.01 - оплачена доля</w:t>
      </w:r>
    </w:p>
    <w:p w:rsidR="001D2FE2" w:rsidRDefault="001D2FE2" w:rsidP="00503822">
      <w:pPr>
        <w:spacing w:after="0" w:line="220" w:lineRule="auto"/>
        <w:jc w:val="both"/>
      </w:pPr>
    </w:p>
    <w:p w:rsidR="001D2FE2" w:rsidRDefault="001D2FE2" w:rsidP="00503822">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10560"/>
        <w:gridCol w:w="180"/>
      </w:tblGrid>
      <w:tr w:rsidR="001D2FE2">
        <w:tc>
          <w:tcPr>
            <w:tcW w:w="180" w:type="dxa"/>
            <w:tcBorders>
              <w:top w:val="nil"/>
              <w:left w:val="nil"/>
              <w:bottom w:val="nil"/>
              <w:right w:val="nil"/>
            </w:tcBorders>
            <w:tcMar>
              <w:top w:w="0" w:type="dxa"/>
              <w:left w:w="0" w:type="dxa"/>
              <w:bottom w:w="0" w:type="dxa"/>
              <w:right w:w="0" w:type="dxa"/>
            </w:tcMar>
          </w:tcPr>
          <w:p w:rsidR="001D2FE2" w:rsidRDefault="001D2FE2" w:rsidP="00503822">
            <w:pPr>
              <w:spacing w:after="0"/>
            </w:pPr>
          </w:p>
        </w:tc>
        <w:tc>
          <w:tcPr>
            <w:tcW w:w="420" w:type="dxa"/>
            <w:tcBorders>
              <w:top w:val="nil"/>
              <w:left w:val="nil"/>
              <w:bottom w:val="nil"/>
              <w:right w:val="nil"/>
            </w:tcBorders>
            <w:tcMar>
              <w:top w:w="180" w:type="dxa"/>
              <w:left w:w="0" w:type="dxa"/>
              <w:bottom w:w="180" w:type="dxa"/>
              <w:right w:w="0" w:type="dxa"/>
            </w:tcMar>
          </w:tcPr>
          <w:p w:rsidR="001D2FE2" w:rsidRDefault="001D2FE2" w:rsidP="00503822">
            <w:pPr>
              <w:spacing w:after="0"/>
            </w:pPr>
            <w:r>
              <w:rPr>
                <w:noProof/>
                <w:lang w:eastAsia="ru-RU"/>
              </w:rPr>
              <w:drawing>
                <wp:inline distT="0" distB="0" distL="0" distR="0">
                  <wp:extent cx="152400" cy="1524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1D2FE2" w:rsidRDefault="001D2FE2" w:rsidP="00503822">
            <w:pPr>
              <w:spacing w:after="0" w:line="220" w:lineRule="auto"/>
              <w:jc w:val="both"/>
            </w:pPr>
            <w:r>
              <w:rPr>
                <w:rFonts w:ascii="Calibri" w:hAnsi="Calibri" w:cs="Calibri"/>
              </w:rPr>
              <w:t>См. также:</w:t>
            </w:r>
          </w:p>
          <w:p w:rsidR="001D2FE2" w:rsidRDefault="00BA51D1" w:rsidP="00503822">
            <w:pPr>
              <w:numPr>
                <w:ilvl w:val="0"/>
                <w:numId w:val="2"/>
              </w:numPr>
              <w:spacing w:after="0" w:line="220" w:lineRule="auto"/>
              <w:jc w:val="both"/>
            </w:pPr>
            <w:hyperlink r:id="rId83">
              <w:r w:rsidR="001D2FE2">
                <w:rPr>
                  <w:rFonts w:ascii="Calibri" w:hAnsi="Calibri" w:cs="Calibri"/>
                  <w:color w:val="0000FF"/>
                </w:rPr>
                <w:t>Выход участника из ООО: выкуп доли, учет, налоги</w:t>
              </w:r>
            </w:hyperlink>
          </w:p>
          <w:p w:rsidR="001D2FE2" w:rsidRDefault="00BA51D1" w:rsidP="00503822">
            <w:pPr>
              <w:numPr>
                <w:ilvl w:val="0"/>
                <w:numId w:val="2"/>
              </w:numPr>
              <w:spacing w:after="0" w:line="220" w:lineRule="auto"/>
              <w:jc w:val="both"/>
            </w:pPr>
            <w:hyperlink r:id="rId84">
              <w:r w:rsidR="001D2FE2">
                <w:rPr>
                  <w:rFonts w:ascii="Calibri" w:hAnsi="Calibri" w:cs="Calibri"/>
                  <w:color w:val="0000FF"/>
                </w:rPr>
                <w:t>Вклад в уставный капитал ООО: передача взноса, увеличение, уменьшение</w:t>
              </w:r>
            </w:hyperlink>
          </w:p>
          <w:p w:rsidR="001D2FE2" w:rsidRDefault="00BA51D1" w:rsidP="00503822">
            <w:pPr>
              <w:numPr>
                <w:ilvl w:val="0"/>
                <w:numId w:val="2"/>
              </w:numPr>
              <w:spacing w:after="0" w:line="220" w:lineRule="auto"/>
              <w:jc w:val="both"/>
            </w:pPr>
            <w:hyperlink r:id="rId85">
              <w:r w:rsidR="001D2FE2">
                <w:rPr>
                  <w:rFonts w:ascii="Calibri" w:hAnsi="Calibri" w:cs="Calibri"/>
                  <w:color w:val="0000FF"/>
                </w:rPr>
                <w:t>Как учесть вознаграждение членам совета директоров</w:t>
              </w:r>
            </w:hyperlink>
          </w:p>
        </w:tc>
        <w:tc>
          <w:tcPr>
            <w:tcW w:w="180" w:type="dxa"/>
            <w:tcBorders>
              <w:top w:val="nil"/>
              <w:left w:val="nil"/>
              <w:bottom w:val="nil"/>
              <w:right w:val="nil"/>
            </w:tcBorders>
            <w:tcMar>
              <w:top w:w="0" w:type="dxa"/>
              <w:left w:w="0" w:type="dxa"/>
              <w:bottom w:w="0" w:type="dxa"/>
              <w:right w:w="0" w:type="dxa"/>
            </w:tcMar>
          </w:tcPr>
          <w:p w:rsidR="001D2FE2" w:rsidRDefault="001D2FE2" w:rsidP="00503822">
            <w:pPr>
              <w:spacing w:after="0"/>
            </w:pPr>
          </w:p>
        </w:tc>
      </w:tr>
    </w:tbl>
    <w:p w:rsidR="001911A1" w:rsidRDefault="001911A1" w:rsidP="00503822">
      <w:pPr>
        <w:spacing w:after="0" w:line="220" w:lineRule="auto"/>
      </w:pPr>
    </w:p>
    <w:p w:rsidR="001911A1" w:rsidRPr="001911A1" w:rsidRDefault="001911A1" w:rsidP="00503822">
      <w:pPr>
        <w:pBdr>
          <w:top w:val="single" w:sz="12" w:space="1" w:color="auto"/>
          <w:bottom w:val="single" w:sz="12" w:space="1" w:color="auto"/>
        </w:pBdr>
        <w:spacing w:after="0" w:line="220" w:lineRule="auto"/>
        <w:rPr>
          <w:sz w:val="2"/>
          <w:szCs w:val="2"/>
        </w:rPr>
      </w:pPr>
    </w:p>
    <w:p w:rsidR="00C22AE6" w:rsidRDefault="00BA51D1" w:rsidP="00503822">
      <w:pPr>
        <w:spacing w:after="0" w:line="220" w:lineRule="auto"/>
      </w:pPr>
      <w:hyperlink r:id="rId86">
        <w:r w:rsidR="00C22AE6">
          <w:rPr>
            <w:rFonts w:ascii="Calibri" w:hAnsi="Calibri" w:cs="Calibri"/>
            <w:i/>
            <w:color w:val="0000FF"/>
          </w:rPr>
          <w:br/>
          <w:t>{Позиции судов по спорным вопросам. Корпоративное право: Цена и оплата доли в ООО при продаже (</w:t>
        </w:r>
        <w:proofErr w:type="spellStart"/>
        <w:r w:rsidR="00C22AE6">
          <w:rPr>
            <w:rFonts w:ascii="Calibri" w:hAnsi="Calibri" w:cs="Calibri"/>
            <w:i/>
            <w:color w:val="0000FF"/>
          </w:rPr>
          <w:t>КонсультантПлюс</w:t>
        </w:r>
        <w:proofErr w:type="spellEnd"/>
        <w:r w:rsidR="00C22AE6">
          <w:rPr>
            <w:rFonts w:ascii="Calibri" w:hAnsi="Calibri" w:cs="Calibri"/>
            <w:i/>
            <w:color w:val="0000FF"/>
          </w:rPr>
          <w:t>, 2024) {</w:t>
        </w:r>
        <w:proofErr w:type="spellStart"/>
        <w:r w:rsidR="00C22AE6">
          <w:rPr>
            <w:rFonts w:ascii="Calibri" w:hAnsi="Calibri" w:cs="Calibri"/>
            <w:i/>
            <w:color w:val="0000FF"/>
          </w:rPr>
          <w:t>КонсультантПлюс</w:t>
        </w:r>
        <w:proofErr w:type="spellEnd"/>
        <w:r w:rsidR="00C22AE6">
          <w:rPr>
            <w:rFonts w:ascii="Calibri" w:hAnsi="Calibri" w:cs="Calibri"/>
            <w:i/>
            <w:color w:val="0000FF"/>
          </w:rPr>
          <w:t>}}</w:t>
        </w:r>
      </w:hyperlink>
      <w:r w:rsidR="00C22AE6">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C22AE6">
        <w:tc>
          <w:tcPr>
            <w:tcW w:w="60" w:type="dxa"/>
            <w:tcBorders>
              <w:top w:val="nil"/>
              <w:left w:val="nil"/>
              <w:bottom w:val="nil"/>
              <w:right w:val="nil"/>
            </w:tcBorders>
            <w:shd w:val="clear" w:color="auto" w:fill="CED3F1"/>
            <w:tcMar>
              <w:top w:w="0" w:type="dxa"/>
              <w:left w:w="0" w:type="dxa"/>
              <w:bottom w:w="0" w:type="dxa"/>
              <w:right w:w="0" w:type="dxa"/>
            </w:tcMar>
          </w:tcPr>
          <w:p w:rsidR="00C22AE6" w:rsidRDefault="00C22AE6" w:rsidP="00503822">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C22AE6" w:rsidRDefault="00C22AE6" w:rsidP="00503822">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C22AE6" w:rsidRDefault="00C22AE6" w:rsidP="00503822">
            <w:pPr>
              <w:spacing w:after="0" w:line="220" w:lineRule="auto"/>
              <w:jc w:val="right"/>
            </w:pPr>
            <w:proofErr w:type="spellStart"/>
            <w:r>
              <w:rPr>
                <w:rFonts w:ascii="Calibri" w:hAnsi="Calibri" w:cs="Calibri"/>
                <w:color w:val="392C69"/>
              </w:rPr>
              <w:t>КонсультантПлюс</w:t>
            </w:r>
            <w:proofErr w:type="spellEnd"/>
            <w:r>
              <w:rPr>
                <w:rFonts w:ascii="Calibri" w:hAnsi="Calibri" w:cs="Calibri"/>
                <w:color w:val="392C69"/>
              </w:rPr>
              <w:t xml:space="preserve"> | </w:t>
            </w:r>
            <w:r>
              <w:rPr>
                <w:rFonts w:ascii="Calibri" w:hAnsi="Calibri" w:cs="Calibri"/>
                <w:b/>
                <w:color w:val="392C69"/>
              </w:rPr>
              <w:t>Актуально на 12.11.2024</w:t>
            </w:r>
          </w:p>
        </w:tc>
        <w:tc>
          <w:tcPr>
            <w:tcW w:w="113" w:type="dxa"/>
            <w:tcBorders>
              <w:top w:val="nil"/>
              <w:left w:val="nil"/>
              <w:bottom w:val="nil"/>
              <w:right w:val="nil"/>
            </w:tcBorders>
            <w:shd w:val="clear" w:color="auto" w:fill="F4F3F8"/>
            <w:tcMar>
              <w:top w:w="0" w:type="dxa"/>
              <w:left w:w="0" w:type="dxa"/>
              <w:bottom w:w="0" w:type="dxa"/>
              <w:right w:w="0" w:type="dxa"/>
            </w:tcMar>
          </w:tcPr>
          <w:p w:rsidR="00C22AE6" w:rsidRDefault="00C22AE6" w:rsidP="00503822">
            <w:pPr>
              <w:spacing w:after="0"/>
            </w:pPr>
          </w:p>
        </w:tc>
      </w:tr>
    </w:tbl>
    <w:p w:rsidR="00C22AE6" w:rsidRDefault="00C22AE6" w:rsidP="00503822">
      <w:pPr>
        <w:spacing w:after="0" w:line="220" w:lineRule="auto"/>
      </w:pPr>
      <w:r>
        <w:rPr>
          <w:rFonts w:ascii="Calibri" w:hAnsi="Calibri" w:cs="Calibri"/>
          <w:b/>
          <w:sz w:val="38"/>
        </w:rPr>
        <w:t>Позиции судов по спорным вопросам:</w:t>
      </w:r>
      <w:r>
        <w:rPr>
          <w:rFonts w:ascii="Calibri" w:hAnsi="Calibri" w:cs="Calibri"/>
          <w:b/>
          <w:sz w:val="38"/>
        </w:rPr>
        <w:br/>
        <w:t>Цена и оплата доли в ООО при продаже</w:t>
      </w:r>
    </w:p>
    <w:p w:rsidR="00C22AE6" w:rsidRDefault="00C22AE6" w:rsidP="00503822">
      <w:pPr>
        <w:spacing w:after="0" w:line="220" w:lineRule="auto"/>
        <w:jc w:val="both"/>
      </w:pPr>
      <w:r>
        <w:rPr>
          <w:rFonts w:ascii="Calibri" w:hAnsi="Calibri" w:cs="Calibri"/>
        </w:rPr>
        <w:t xml:space="preserve">Применимые нормы: </w:t>
      </w:r>
      <w:hyperlink r:id="rId87">
        <w:r>
          <w:rPr>
            <w:rFonts w:ascii="Calibri" w:hAnsi="Calibri" w:cs="Calibri"/>
            <w:color w:val="0000FF"/>
          </w:rPr>
          <w:t>п. 1 ст. 454</w:t>
        </w:r>
      </w:hyperlink>
      <w:r>
        <w:rPr>
          <w:rFonts w:ascii="Calibri" w:hAnsi="Calibri" w:cs="Calibri"/>
        </w:rPr>
        <w:t xml:space="preserve">, </w:t>
      </w:r>
      <w:hyperlink r:id="rId88">
        <w:r>
          <w:rPr>
            <w:rFonts w:ascii="Calibri" w:hAnsi="Calibri" w:cs="Calibri"/>
            <w:color w:val="0000FF"/>
          </w:rPr>
          <w:t>ст. 485</w:t>
        </w:r>
      </w:hyperlink>
      <w:r>
        <w:rPr>
          <w:rFonts w:ascii="Calibri" w:hAnsi="Calibri" w:cs="Calibri"/>
        </w:rPr>
        <w:t xml:space="preserve"> ГК РФ, </w:t>
      </w:r>
      <w:hyperlink r:id="rId89">
        <w:r>
          <w:rPr>
            <w:rFonts w:ascii="Calibri" w:hAnsi="Calibri" w:cs="Calibri"/>
            <w:color w:val="0000FF"/>
          </w:rPr>
          <w:t>п. 4 ст. 21</w:t>
        </w:r>
      </w:hyperlink>
      <w:r>
        <w:rPr>
          <w:rFonts w:ascii="Calibri" w:hAnsi="Calibri" w:cs="Calibri"/>
        </w:rPr>
        <w:t xml:space="preserve"> Закона об ООО</w:t>
      </w:r>
    </w:p>
    <w:p w:rsidR="00C22AE6" w:rsidRDefault="00C22AE6" w:rsidP="00503822">
      <w:pPr>
        <w:spacing w:after="0" w:line="220" w:lineRule="auto"/>
      </w:pPr>
    </w:p>
    <w:p w:rsidR="00C22AE6" w:rsidRDefault="00C22AE6" w:rsidP="00503822">
      <w:pPr>
        <w:spacing w:after="0" w:line="220" w:lineRule="auto"/>
      </w:pPr>
      <w:r>
        <w:rPr>
          <w:rFonts w:ascii="Calibri" w:hAnsi="Calibri" w:cs="Calibri"/>
          <w:b/>
          <w:sz w:val="32"/>
        </w:rPr>
        <w:t>1. Определение цены доли в уставном капитале ООО при продаже</w:t>
      </w:r>
    </w:p>
    <w:p w:rsidR="00C22AE6" w:rsidRDefault="00C22AE6" w:rsidP="00503822">
      <w:pPr>
        <w:numPr>
          <w:ilvl w:val="0"/>
          <w:numId w:val="1"/>
        </w:numPr>
        <w:spacing w:after="0" w:line="220" w:lineRule="auto"/>
        <w:jc w:val="both"/>
      </w:pPr>
      <w:r>
        <w:rPr>
          <w:rFonts w:ascii="Calibri" w:hAnsi="Calibri" w:cs="Calibri"/>
        </w:rPr>
        <w:lastRenderedPageBreak/>
        <w:t>Стороны могут установить цену продажи доли как выше, так и ниже ее действительной (рыночной) или номинальной стоимости</w:t>
      </w:r>
    </w:p>
    <w:p w:rsidR="00C22AE6" w:rsidRDefault="00C22AE6" w:rsidP="00503822">
      <w:pPr>
        <w:spacing w:after="0"/>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C22AE6" w:rsidTr="00C22AE6">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C22AE6" w:rsidRDefault="00C22AE6" w:rsidP="00503822">
            <w:pPr>
              <w:spacing w:after="0" w:line="220" w:lineRule="auto"/>
              <w:jc w:val="both"/>
            </w:pPr>
            <w:bookmarkStart w:id="1" w:name="P7"/>
            <w:bookmarkEnd w:id="1"/>
            <w:r>
              <w:rPr>
                <w:rFonts w:ascii="Calibri" w:hAnsi="Calibri" w:cs="Calibri"/>
                <w:u w:val="single"/>
              </w:rPr>
              <w:t>Судебная практика</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10202"/>
              <w:gridCol w:w="180"/>
            </w:tblGrid>
            <w:tr w:rsidR="00C22AE6">
              <w:tc>
                <w:tcPr>
                  <w:tcW w:w="180" w:type="dxa"/>
                  <w:tcBorders>
                    <w:top w:val="nil"/>
                    <w:left w:val="nil"/>
                    <w:bottom w:val="nil"/>
                    <w:right w:val="nil"/>
                  </w:tcBorders>
                  <w:tcMar>
                    <w:top w:w="0" w:type="dxa"/>
                    <w:left w:w="0" w:type="dxa"/>
                    <w:bottom w:w="0" w:type="dxa"/>
                    <w:right w:w="0" w:type="dxa"/>
                  </w:tcMar>
                </w:tcPr>
                <w:p w:rsidR="00C22AE6" w:rsidRDefault="00C22AE6" w:rsidP="00503822">
                  <w:pPr>
                    <w:spacing w:after="0"/>
                  </w:pPr>
                </w:p>
              </w:tc>
              <w:tc>
                <w:tcPr>
                  <w:tcW w:w="360" w:type="dxa"/>
                  <w:tcBorders>
                    <w:top w:val="nil"/>
                    <w:left w:val="nil"/>
                    <w:bottom w:val="nil"/>
                    <w:right w:val="nil"/>
                  </w:tcBorders>
                  <w:tcMar>
                    <w:top w:w="180" w:type="dxa"/>
                    <w:left w:w="0" w:type="dxa"/>
                    <w:bottom w:w="180" w:type="dxa"/>
                    <w:right w:w="0" w:type="dxa"/>
                  </w:tcMar>
                </w:tcPr>
                <w:p w:rsidR="00C22AE6" w:rsidRDefault="00C22AE6" w:rsidP="00503822">
                  <w:pPr>
                    <w:spacing w:after="0"/>
                  </w:pPr>
                  <w:r>
                    <w:rPr>
                      <w:noProof/>
                      <w:lang w:eastAsia="ru-RU"/>
                    </w:rPr>
                    <w:drawing>
                      <wp:inline distT="0" distB="0" distL="0" distR="0">
                        <wp:extent cx="114300"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C22AE6" w:rsidRDefault="00BA51D1" w:rsidP="00503822">
                  <w:pPr>
                    <w:spacing w:after="0" w:line="220" w:lineRule="auto"/>
                    <w:jc w:val="both"/>
                  </w:pPr>
                  <w:hyperlink r:id="rId90">
                    <w:r w:rsidR="00C22AE6">
                      <w:rPr>
                        <w:rFonts w:ascii="Calibri" w:hAnsi="Calibri" w:cs="Calibri"/>
                        <w:color w:val="0000FF"/>
                      </w:rPr>
                      <w:t>Постановление</w:t>
                    </w:r>
                  </w:hyperlink>
                  <w:r w:rsidR="00C22AE6">
                    <w:rPr>
                      <w:rFonts w:ascii="Calibri" w:hAnsi="Calibri" w:cs="Calibri"/>
                    </w:rPr>
                    <w:t xml:space="preserve"> Арбитражного суда Центрального округа от 11.03.2021 N Ф10-6058/2020 по делу N А23-8725/2019</w:t>
                  </w:r>
                </w:p>
              </w:tc>
              <w:tc>
                <w:tcPr>
                  <w:tcW w:w="180" w:type="dxa"/>
                  <w:tcBorders>
                    <w:top w:val="nil"/>
                    <w:left w:val="nil"/>
                    <w:bottom w:val="nil"/>
                    <w:right w:val="nil"/>
                  </w:tcBorders>
                  <w:tcMar>
                    <w:top w:w="0" w:type="dxa"/>
                    <w:left w:w="0" w:type="dxa"/>
                    <w:bottom w:w="0" w:type="dxa"/>
                    <w:right w:w="0" w:type="dxa"/>
                  </w:tcMar>
                </w:tcPr>
                <w:p w:rsidR="00C22AE6" w:rsidRDefault="00C22AE6" w:rsidP="00503822">
                  <w:pPr>
                    <w:spacing w:after="0"/>
                  </w:pPr>
                </w:p>
              </w:tc>
            </w:tr>
          </w:tbl>
          <w:p w:rsidR="00C22AE6" w:rsidRDefault="00C22AE6" w:rsidP="00503822">
            <w:pPr>
              <w:spacing w:after="0" w:line="220" w:lineRule="auto"/>
              <w:jc w:val="both"/>
            </w:pPr>
            <w:r>
              <w:rPr>
                <w:rFonts w:ascii="Calibri" w:hAnsi="Calibri" w:cs="Calibri"/>
              </w:rPr>
              <w:t>"</w:t>
            </w:r>
            <w:proofErr w:type="gramStart"/>
            <w:r>
              <w:rPr>
                <w:rFonts w:ascii="Calibri" w:hAnsi="Calibri" w:cs="Calibri"/>
              </w:rPr>
              <w:t>...[</w:t>
            </w:r>
            <w:proofErr w:type="gramEnd"/>
            <w:r>
              <w:rPr>
                <w:rFonts w:ascii="Calibri" w:hAnsi="Calibri" w:cs="Calibri"/>
              </w:rPr>
              <w:t>истец - ред.] обратился... к [ответчику - ред.] и обществу... с иском о признании недействительным договора купли-продажи доли в уставном капитале ООО...</w:t>
            </w:r>
          </w:p>
          <w:p w:rsidR="00C22AE6" w:rsidRDefault="00C22AE6" w:rsidP="00503822">
            <w:pPr>
              <w:spacing w:after="0" w:line="220" w:lineRule="auto"/>
              <w:jc w:val="both"/>
            </w:pPr>
            <w:r>
              <w:rPr>
                <w:rFonts w:ascii="Calibri" w:hAnsi="Calibri" w:cs="Calibri"/>
              </w:rPr>
              <w:t xml:space="preserve">В ходе рассмотрения дела истец в порядке </w:t>
            </w:r>
            <w:hyperlink r:id="rId91">
              <w:r>
                <w:rPr>
                  <w:rFonts w:ascii="Calibri" w:hAnsi="Calibri" w:cs="Calibri"/>
                  <w:color w:val="0000FF"/>
                </w:rPr>
                <w:t>ст. 49</w:t>
              </w:r>
            </w:hyperlink>
            <w:r>
              <w:rPr>
                <w:rFonts w:ascii="Calibri" w:hAnsi="Calibri" w:cs="Calibri"/>
              </w:rPr>
              <w:t xml:space="preserve"> АПК РФ уточнил основание иска, ссылался на то, что оспариваемая сделка является притворной...</w:t>
            </w:r>
          </w:p>
          <w:p w:rsidR="00C22AE6" w:rsidRDefault="00C22AE6" w:rsidP="00503822">
            <w:pPr>
              <w:spacing w:after="0" w:line="220" w:lineRule="auto"/>
              <w:jc w:val="both"/>
            </w:pPr>
            <w:r>
              <w:rPr>
                <w:rFonts w:ascii="Calibri" w:hAnsi="Calibri" w:cs="Calibri"/>
              </w:rPr>
              <w:t>...в предмет доказывания по делам о признании притворных сделок недействительными входят факт заключения сделки, действительное волеизъявление сторон на совершение прикрываемой сделки, обстоятельства заключения договора и несоответствие волеизъявления сторон их действиям.</w:t>
            </w:r>
          </w:p>
          <w:p w:rsidR="00C22AE6" w:rsidRDefault="00C22AE6" w:rsidP="00503822">
            <w:pPr>
              <w:spacing w:after="0" w:line="220" w:lineRule="auto"/>
              <w:jc w:val="both"/>
            </w:pPr>
            <w:r>
              <w:rPr>
                <w:rFonts w:ascii="Calibri" w:hAnsi="Calibri" w:cs="Calibri"/>
              </w:rPr>
              <w:t xml:space="preserve">...Договор заключен на условиях, согласованных сторонами, доказательств обратного в нарушение </w:t>
            </w:r>
            <w:hyperlink r:id="rId92">
              <w:r>
                <w:rPr>
                  <w:rFonts w:ascii="Calibri" w:hAnsi="Calibri" w:cs="Calibri"/>
                  <w:color w:val="0000FF"/>
                </w:rPr>
                <w:t>ст. 65</w:t>
              </w:r>
            </w:hyperlink>
            <w:r>
              <w:rPr>
                <w:rFonts w:ascii="Calibri" w:hAnsi="Calibri" w:cs="Calibri"/>
              </w:rPr>
              <w:t xml:space="preserve"> АПК РФ истцом в материалы дела не представлено.</w:t>
            </w:r>
          </w:p>
          <w:p w:rsidR="00C22AE6" w:rsidRDefault="00C22AE6" w:rsidP="00503822">
            <w:pPr>
              <w:spacing w:after="0" w:line="220" w:lineRule="auto"/>
              <w:jc w:val="both"/>
            </w:pPr>
            <w:r>
              <w:rPr>
                <w:rFonts w:ascii="Calibri" w:hAnsi="Calibri" w:cs="Calibri"/>
              </w:rPr>
              <w:t>...Довод о несоответствии указанной в договоре цены доли ее рыночной стоимости также был предметом рассмотрения судов и правомерно ими отклонен.</w:t>
            </w:r>
          </w:p>
          <w:p w:rsidR="00C22AE6" w:rsidRDefault="00C22AE6" w:rsidP="00503822">
            <w:pPr>
              <w:spacing w:after="0" w:line="220" w:lineRule="auto"/>
              <w:jc w:val="both"/>
            </w:pPr>
            <w:r>
              <w:rPr>
                <w:rFonts w:ascii="Calibri" w:hAnsi="Calibri" w:cs="Calibri"/>
              </w:rPr>
              <w:t xml:space="preserve">По общему правилу ни в </w:t>
            </w:r>
            <w:hyperlink r:id="rId93">
              <w:r>
                <w:rPr>
                  <w:rFonts w:ascii="Calibri" w:hAnsi="Calibri" w:cs="Calibri"/>
                  <w:color w:val="0000FF"/>
                </w:rPr>
                <w:t>ГК</w:t>
              </w:r>
            </w:hyperlink>
            <w:r>
              <w:rPr>
                <w:rFonts w:ascii="Calibri" w:hAnsi="Calibri" w:cs="Calibri"/>
              </w:rPr>
              <w:t xml:space="preserve"> РФ, ни в </w:t>
            </w:r>
            <w:hyperlink r:id="rId94">
              <w:r>
                <w:rPr>
                  <w:rFonts w:ascii="Calibri" w:hAnsi="Calibri" w:cs="Calibri"/>
                  <w:color w:val="0000FF"/>
                </w:rPr>
                <w:t>Законе</w:t>
              </w:r>
            </w:hyperlink>
            <w:r>
              <w:rPr>
                <w:rFonts w:ascii="Calibri" w:hAnsi="Calibri" w:cs="Calibri"/>
              </w:rPr>
              <w:t xml:space="preserve"> об ООО не устанавливается запрет на определение цены продажи ниже действительной (рыночной) стоимости доли. Следовательно, исходя из принципа свободы договора (</w:t>
            </w:r>
            <w:hyperlink r:id="rId95">
              <w:r>
                <w:rPr>
                  <w:rFonts w:ascii="Calibri" w:hAnsi="Calibri" w:cs="Calibri"/>
                  <w:color w:val="0000FF"/>
                </w:rPr>
                <w:t>ст. 421</w:t>
              </w:r>
            </w:hyperlink>
            <w:r>
              <w:rPr>
                <w:rFonts w:ascii="Calibri" w:hAnsi="Calibri" w:cs="Calibri"/>
              </w:rPr>
              <w:t xml:space="preserve"> ГК РФ) стороны договора вправе установить цену продажи доли в любом размере - как выше, так и ниже действительной (рыночной) стоимости или номинальной цены.</w:t>
            </w:r>
          </w:p>
          <w:p w:rsidR="00C22AE6" w:rsidRDefault="00C22AE6" w:rsidP="00503822">
            <w:pPr>
              <w:spacing w:after="0" w:line="220" w:lineRule="auto"/>
              <w:jc w:val="both"/>
            </w:pPr>
            <w:r>
              <w:rPr>
                <w:rFonts w:ascii="Calibri" w:hAnsi="Calibri" w:cs="Calibri"/>
              </w:rPr>
              <w:t>При изложенных обстоятельствах судами было отказано истцу в удовлетворении ходатайства о назначении экспертизы с целью установления действительной стоимости доли, поскольку при рассмотрении данной категории спора ее назначение не требуется..."</w:t>
            </w:r>
          </w:p>
          <w:p w:rsidR="00C22AE6" w:rsidRDefault="00C22AE6" w:rsidP="00503822">
            <w:pPr>
              <w:spacing w:after="0" w:line="220" w:lineRule="auto"/>
              <w:jc w:val="both"/>
            </w:pPr>
            <w:r>
              <w:rPr>
                <w:rFonts w:ascii="Calibri" w:hAnsi="Calibri" w:cs="Calibri"/>
                <w:b/>
              </w:rPr>
              <w:t>Аналогичная позиция найдена в следующих судебных актах:</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765"/>
              <w:gridCol w:w="9797"/>
              <w:gridCol w:w="180"/>
            </w:tblGrid>
            <w:tr w:rsidR="00C22AE6">
              <w:tc>
                <w:tcPr>
                  <w:tcW w:w="180" w:type="dxa"/>
                  <w:tcBorders>
                    <w:top w:val="nil"/>
                    <w:left w:val="nil"/>
                    <w:bottom w:val="nil"/>
                    <w:right w:val="nil"/>
                  </w:tcBorders>
                  <w:tcMar>
                    <w:top w:w="0" w:type="dxa"/>
                    <w:left w:w="0" w:type="dxa"/>
                    <w:bottom w:w="0" w:type="dxa"/>
                    <w:right w:w="0" w:type="dxa"/>
                  </w:tcMar>
                </w:tcPr>
                <w:p w:rsidR="00C22AE6" w:rsidRDefault="00C22AE6" w:rsidP="00503822">
                  <w:pPr>
                    <w:spacing w:after="0"/>
                  </w:pPr>
                </w:p>
              </w:tc>
              <w:tc>
                <w:tcPr>
                  <w:tcW w:w="765" w:type="dxa"/>
                  <w:tcBorders>
                    <w:top w:val="nil"/>
                    <w:left w:val="nil"/>
                    <w:bottom w:val="nil"/>
                    <w:right w:val="nil"/>
                  </w:tcBorders>
                  <w:tcMar>
                    <w:top w:w="180" w:type="dxa"/>
                    <w:left w:w="0" w:type="dxa"/>
                    <w:bottom w:w="180" w:type="dxa"/>
                    <w:right w:w="0" w:type="dxa"/>
                  </w:tcMar>
                </w:tcPr>
                <w:p w:rsidR="00C22AE6" w:rsidRDefault="00C22AE6" w:rsidP="00503822">
                  <w:pPr>
                    <w:spacing w:after="0"/>
                  </w:pPr>
                  <w:r>
                    <w:rPr>
                      <w:noProof/>
                      <w:lang w:eastAsia="ru-RU"/>
                    </w:rPr>
                    <w:drawing>
                      <wp:inline distT="0" distB="0" distL="0" distR="0">
                        <wp:extent cx="371475" cy="1428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22AE6" w:rsidRDefault="00BA51D1" w:rsidP="00503822">
                  <w:pPr>
                    <w:spacing w:after="0" w:line="220" w:lineRule="auto"/>
                    <w:jc w:val="both"/>
                  </w:pPr>
                  <w:hyperlink r:id="rId96">
                    <w:r w:rsidR="00C22AE6">
                      <w:rPr>
                        <w:rFonts w:ascii="Calibri" w:hAnsi="Calibri" w:cs="Calibri"/>
                        <w:color w:val="0000FF"/>
                      </w:rPr>
                      <w:t>Постановление</w:t>
                    </w:r>
                  </w:hyperlink>
                  <w:r w:rsidR="00C22AE6">
                    <w:rPr>
                      <w:rFonts w:ascii="Calibri" w:hAnsi="Calibri" w:cs="Calibri"/>
                    </w:rPr>
                    <w:t xml:space="preserve"> Арбитражного суда Северо-Западного округа от 22.02.2022 N Ф07-20474/2021 по делу N А56-102590/2020</w:t>
                  </w:r>
                </w:p>
              </w:tc>
              <w:tc>
                <w:tcPr>
                  <w:tcW w:w="180" w:type="dxa"/>
                  <w:tcBorders>
                    <w:top w:val="nil"/>
                    <w:left w:val="nil"/>
                    <w:bottom w:val="nil"/>
                    <w:right w:val="nil"/>
                  </w:tcBorders>
                  <w:tcMar>
                    <w:top w:w="0" w:type="dxa"/>
                    <w:left w:w="0" w:type="dxa"/>
                    <w:bottom w:w="0" w:type="dxa"/>
                    <w:right w:w="0" w:type="dxa"/>
                  </w:tcMar>
                </w:tcPr>
                <w:p w:rsidR="00C22AE6" w:rsidRDefault="00C22AE6" w:rsidP="00503822">
                  <w:pPr>
                    <w:spacing w:after="0"/>
                  </w:pPr>
                </w:p>
              </w:tc>
            </w:tr>
            <w:tr w:rsidR="00C22AE6">
              <w:tc>
                <w:tcPr>
                  <w:tcW w:w="180" w:type="dxa"/>
                  <w:tcBorders>
                    <w:top w:val="nil"/>
                    <w:left w:val="nil"/>
                    <w:bottom w:val="nil"/>
                    <w:right w:val="nil"/>
                  </w:tcBorders>
                  <w:tcMar>
                    <w:top w:w="0" w:type="dxa"/>
                    <w:left w:w="0" w:type="dxa"/>
                    <w:bottom w:w="0" w:type="dxa"/>
                    <w:right w:w="0" w:type="dxa"/>
                  </w:tcMar>
                </w:tcPr>
                <w:p w:rsidR="00C22AE6" w:rsidRDefault="00C22AE6" w:rsidP="00503822">
                  <w:pPr>
                    <w:spacing w:after="0"/>
                  </w:pPr>
                </w:p>
              </w:tc>
              <w:tc>
                <w:tcPr>
                  <w:tcW w:w="765" w:type="dxa"/>
                  <w:tcBorders>
                    <w:top w:val="nil"/>
                    <w:left w:val="nil"/>
                    <w:bottom w:val="nil"/>
                    <w:right w:val="nil"/>
                  </w:tcBorders>
                  <w:tcMar>
                    <w:top w:w="180" w:type="dxa"/>
                    <w:left w:w="0" w:type="dxa"/>
                    <w:bottom w:w="180" w:type="dxa"/>
                    <w:right w:w="0" w:type="dxa"/>
                  </w:tcMar>
                </w:tcPr>
                <w:p w:rsidR="00C22AE6" w:rsidRDefault="00C22AE6" w:rsidP="00503822">
                  <w:pPr>
                    <w:spacing w:after="0"/>
                  </w:pPr>
                  <w:r>
                    <w:rPr>
                      <w:noProof/>
                      <w:lang w:eastAsia="ru-RU"/>
                    </w:rPr>
                    <w:drawing>
                      <wp:inline distT="0" distB="0" distL="0" distR="0">
                        <wp:extent cx="371475" cy="1428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22AE6" w:rsidRDefault="00BA51D1" w:rsidP="00503822">
                  <w:pPr>
                    <w:spacing w:after="0" w:line="220" w:lineRule="auto"/>
                    <w:jc w:val="both"/>
                  </w:pPr>
                  <w:hyperlink r:id="rId97">
                    <w:r w:rsidR="00C22AE6">
                      <w:rPr>
                        <w:rFonts w:ascii="Calibri" w:hAnsi="Calibri" w:cs="Calibri"/>
                        <w:color w:val="0000FF"/>
                      </w:rPr>
                      <w:t>Постановление</w:t>
                    </w:r>
                  </w:hyperlink>
                  <w:r w:rsidR="00C22AE6">
                    <w:rPr>
                      <w:rFonts w:ascii="Calibri" w:hAnsi="Calibri" w:cs="Calibri"/>
                    </w:rPr>
                    <w:t xml:space="preserve"> Арбитражного суда Центрального округа от 20.12.2019 N Ф10-5812/2019 по делу N А09-1363/2019</w:t>
                  </w:r>
                </w:p>
              </w:tc>
              <w:tc>
                <w:tcPr>
                  <w:tcW w:w="180" w:type="dxa"/>
                  <w:tcBorders>
                    <w:top w:val="nil"/>
                    <w:left w:val="nil"/>
                    <w:bottom w:val="nil"/>
                    <w:right w:val="nil"/>
                  </w:tcBorders>
                  <w:tcMar>
                    <w:top w:w="0" w:type="dxa"/>
                    <w:left w:w="0" w:type="dxa"/>
                    <w:bottom w:w="0" w:type="dxa"/>
                    <w:right w:w="0" w:type="dxa"/>
                  </w:tcMar>
                </w:tcPr>
                <w:p w:rsidR="00C22AE6" w:rsidRDefault="00C22AE6" w:rsidP="00503822">
                  <w:pPr>
                    <w:spacing w:after="0"/>
                  </w:pPr>
                </w:p>
              </w:tc>
            </w:tr>
          </w:tbl>
          <w:p w:rsidR="00C22AE6" w:rsidRDefault="00C22AE6" w:rsidP="00503822">
            <w:pPr>
              <w:spacing w:after="0"/>
            </w:pPr>
          </w:p>
        </w:tc>
      </w:tr>
    </w:tbl>
    <w:p w:rsidR="00C22AE6" w:rsidRDefault="00C22AE6" w:rsidP="00503822">
      <w:pPr>
        <w:numPr>
          <w:ilvl w:val="0"/>
          <w:numId w:val="1"/>
        </w:numPr>
        <w:spacing w:after="0" w:line="220" w:lineRule="auto"/>
        <w:jc w:val="both"/>
      </w:pPr>
      <w:r>
        <w:rPr>
          <w:rFonts w:ascii="Calibri" w:hAnsi="Calibri" w:cs="Calibri"/>
        </w:rPr>
        <w:t>Стороны договора купли-продажи могут установить цену продажи доли в уставном капитале ООО в размере ее номинальной стоимости</w:t>
      </w:r>
    </w:p>
    <w:p w:rsidR="00C22AE6" w:rsidRDefault="00C22AE6" w:rsidP="00503822">
      <w:pPr>
        <w:spacing w:after="0"/>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C22AE6" w:rsidTr="00C22AE6">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C22AE6" w:rsidRDefault="00C22AE6" w:rsidP="00503822">
            <w:pPr>
              <w:spacing w:after="0" w:line="220" w:lineRule="auto"/>
              <w:jc w:val="both"/>
            </w:pPr>
            <w:bookmarkStart w:id="2" w:name="P20"/>
            <w:bookmarkEnd w:id="2"/>
            <w:r>
              <w:rPr>
                <w:rFonts w:ascii="Calibri" w:hAnsi="Calibri" w:cs="Calibri"/>
                <w:u w:val="single"/>
              </w:rPr>
              <w:t>Судебная практика</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360"/>
              <w:gridCol w:w="10202"/>
              <w:gridCol w:w="180"/>
            </w:tblGrid>
            <w:tr w:rsidR="00C22AE6">
              <w:tc>
                <w:tcPr>
                  <w:tcW w:w="180" w:type="dxa"/>
                  <w:tcBorders>
                    <w:top w:val="nil"/>
                    <w:left w:val="nil"/>
                    <w:bottom w:val="nil"/>
                    <w:right w:val="nil"/>
                  </w:tcBorders>
                  <w:tcMar>
                    <w:top w:w="0" w:type="dxa"/>
                    <w:left w:w="0" w:type="dxa"/>
                    <w:bottom w:w="0" w:type="dxa"/>
                    <w:right w:w="0" w:type="dxa"/>
                  </w:tcMar>
                </w:tcPr>
                <w:p w:rsidR="00C22AE6" w:rsidRDefault="00C22AE6" w:rsidP="00503822">
                  <w:pPr>
                    <w:spacing w:after="0"/>
                  </w:pPr>
                </w:p>
              </w:tc>
              <w:tc>
                <w:tcPr>
                  <w:tcW w:w="360" w:type="dxa"/>
                  <w:tcBorders>
                    <w:top w:val="nil"/>
                    <w:left w:val="nil"/>
                    <w:bottom w:val="nil"/>
                    <w:right w:val="nil"/>
                  </w:tcBorders>
                  <w:tcMar>
                    <w:top w:w="180" w:type="dxa"/>
                    <w:left w:w="0" w:type="dxa"/>
                    <w:bottom w:w="180" w:type="dxa"/>
                    <w:right w:w="0" w:type="dxa"/>
                  </w:tcMar>
                </w:tcPr>
                <w:p w:rsidR="00C22AE6" w:rsidRDefault="00C22AE6" w:rsidP="00503822">
                  <w:pPr>
                    <w:spacing w:after="0"/>
                  </w:pPr>
                  <w:r>
                    <w:rPr>
                      <w:noProof/>
                      <w:lang w:eastAsia="ru-RU"/>
                    </w:rPr>
                    <w:drawing>
                      <wp:inline distT="0" distB="0" distL="0" distR="0">
                        <wp:extent cx="114300" cy="14287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C22AE6" w:rsidRDefault="00BA51D1" w:rsidP="00503822">
                  <w:pPr>
                    <w:spacing w:after="0" w:line="220" w:lineRule="auto"/>
                    <w:jc w:val="both"/>
                  </w:pPr>
                  <w:hyperlink r:id="rId98">
                    <w:r w:rsidR="00C22AE6">
                      <w:rPr>
                        <w:rFonts w:ascii="Calibri" w:hAnsi="Calibri" w:cs="Calibri"/>
                        <w:color w:val="0000FF"/>
                      </w:rPr>
                      <w:t>Постановление</w:t>
                    </w:r>
                  </w:hyperlink>
                  <w:r w:rsidR="00C22AE6">
                    <w:rPr>
                      <w:rFonts w:ascii="Calibri" w:hAnsi="Calibri" w:cs="Calibri"/>
                    </w:rPr>
                    <w:t xml:space="preserve"> Арбитражного суда Поволжского округа от 19.06.2020 N Ф06-62982/2020 по делу N А72-14944/2019</w:t>
                  </w:r>
                </w:p>
              </w:tc>
              <w:tc>
                <w:tcPr>
                  <w:tcW w:w="180" w:type="dxa"/>
                  <w:tcBorders>
                    <w:top w:val="nil"/>
                    <w:left w:val="nil"/>
                    <w:bottom w:val="nil"/>
                    <w:right w:val="nil"/>
                  </w:tcBorders>
                  <w:tcMar>
                    <w:top w:w="0" w:type="dxa"/>
                    <w:left w:w="0" w:type="dxa"/>
                    <w:bottom w:w="0" w:type="dxa"/>
                    <w:right w:w="0" w:type="dxa"/>
                  </w:tcMar>
                </w:tcPr>
                <w:p w:rsidR="00C22AE6" w:rsidRDefault="00C22AE6" w:rsidP="00503822">
                  <w:pPr>
                    <w:spacing w:after="0"/>
                  </w:pPr>
                </w:p>
              </w:tc>
            </w:tr>
          </w:tbl>
          <w:p w:rsidR="00C22AE6" w:rsidRDefault="00C22AE6" w:rsidP="00503822">
            <w:pPr>
              <w:spacing w:after="0" w:line="220" w:lineRule="auto"/>
              <w:jc w:val="both"/>
            </w:pPr>
            <w:r>
              <w:rPr>
                <w:rFonts w:ascii="Calibri" w:hAnsi="Calibri" w:cs="Calibri"/>
              </w:rPr>
              <w:t>"</w:t>
            </w:r>
            <w:proofErr w:type="gramStart"/>
            <w:r>
              <w:rPr>
                <w:rFonts w:ascii="Calibri" w:hAnsi="Calibri" w:cs="Calibri"/>
              </w:rPr>
              <w:t>...[</w:t>
            </w:r>
            <w:proofErr w:type="gramEnd"/>
            <w:r>
              <w:rPr>
                <w:rFonts w:ascii="Calibri" w:hAnsi="Calibri" w:cs="Calibri"/>
              </w:rPr>
              <w:t>истица, супруга продавца - ред.] обратилась... с исковым заявлением... о признании недействительным договора... купли-продажи доли в уставном капитале общества...</w:t>
            </w:r>
          </w:p>
          <w:p w:rsidR="00C22AE6" w:rsidRDefault="00C22AE6" w:rsidP="00503822">
            <w:pPr>
              <w:spacing w:after="0" w:line="220" w:lineRule="auto"/>
              <w:jc w:val="both"/>
            </w:pPr>
            <w:r>
              <w:rPr>
                <w:rFonts w:ascii="Calibri" w:hAnsi="Calibri" w:cs="Calibri"/>
              </w:rPr>
              <w:t xml:space="preserve">...Продажа доли по номинальной стоимости не противоречит положениям </w:t>
            </w:r>
            <w:hyperlink r:id="rId99">
              <w:r>
                <w:rPr>
                  <w:rFonts w:ascii="Calibri" w:hAnsi="Calibri" w:cs="Calibri"/>
                  <w:color w:val="0000FF"/>
                </w:rPr>
                <w:t>статей 421</w:t>
              </w:r>
            </w:hyperlink>
            <w:r>
              <w:rPr>
                <w:rFonts w:ascii="Calibri" w:hAnsi="Calibri" w:cs="Calibri"/>
              </w:rPr>
              <w:t xml:space="preserve">, </w:t>
            </w:r>
            <w:hyperlink r:id="rId100">
              <w:r>
                <w:rPr>
                  <w:rFonts w:ascii="Calibri" w:hAnsi="Calibri" w:cs="Calibri"/>
                  <w:color w:val="0000FF"/>
                </w:rPr>
                <w:t>424</w:t>
              </w:r>
            </w:hyperlink>
            <w:r>
              <w:rPr>
                <w:rFonts w:ascii="Calibri" w:hAnsi="Calibri" w:cs="Calibri"/>
              </w:rPr>
              <w:t xml:space="preserve"> Гражданского кодекса Российской Федерации о свободе договора, положениям </w:t>
            </w:r>
            <w:hyperlink r:id="rId101">
              <w:r>
                <w:rPr>
                  <w:rFonts w:ascii="Calibri" w:hAnsi="Calibri" w:cs="Calibri"/>
                  <w:color w:val="0000FF"/>
                </w:rPr>
                <w:t>статьи 21</w:t>
              </w:r>
            </w:hyperlink>
            <w:r>
              <w:rPr>
                <w:rFonts w:ascii="Calibri" w:hAnsi="Calibri" w:cs="Calibri"/>
              </w:rPr>
              <w:t xml:space="preserve"> Федерального закона от 08.02.1998 N 14-ФЗ "Об обществах с ограниченной ответственностью" и Уставу ООО...</w:t>
            </w:r>
          </w:p>
          <w:p w:rsidR="00C22AE6" w:rsidRDefault="00C22AE6" w:rsidP="00503822">
            <w:pPr>
              <w:spacing w:after="0" w:line="220" w:lineRule="auto"/>
              <w:jc w:val="both"/>
            </w:pPr>
            <w:r>
              <w:rPr>
                <w:rFonts w:ascii="Calibri" w:hAnsi="Calibri" w:cs="Calibri"/>
              </w:rPr>
              <w:t>Оспариваемый договор заключен в порядке реализации участником общества права продать свою долю одному участнику данного обществ.</w:t>
            </w:r>
          </w:p>
          <w:p w:rsidR="00C22AE6" w:rsidRDefault="00C22AE6" w:rsidP="00503822">
            <w:pPr>
              <w:spacing w:after="0" w:line="220" w:lineRule="auto"/>
              <w:jc w:val="both"/>
            </w:pPr>
            <w:r>
              <w:rPr>
                <w:rFonts w:ascii="Calibri" w:hAnsi="Calibri" w:cs="Calibri"/>
              </w:rPr>
              <w:t>Условия сделки по отчуждению доли в уставном капитале определяются сторонами самостоятельно, и договор подлежит исполнению по цене, установленной соглашением сторон. При этом номинальная стоимость доли может не соответствовать рыночной стоимости доли в уставном капитале общества.</w:t>
            </w:r>
          </w:p>
          <w:p w:rsidR="00C22AE6" w:rsidRDefault="00C22AE6" w:rsidP="00503822">
            <w:pPr>
              <w:spacing w:after="0" w:line="220" w:lineRule="auto"/>
              <w:jc w:val="both"/>
            </w:pPr>
            <w:r>
              <w:rPr>
                <w:rFonts w:ascii="Calibri" w:hAnsi="Calibri" w:cs="Calibri"/>
              </w:rPr>
              <w:t>...Суд кассационной инстанции считает выводы судов двух инстанций не противоречащими фактическим обстоятельствам дела и примененным нормам права.</w:t>
            </w:r>
          </w:p>
          <w:p w:rsidR="00C22AE6" w:rsidRDefault="00C22AE6" w:rsidP="00503822">
            <w:pPr>
              <w:spacing w:after="0" w:line="220" w:lineRule="auto"/>
              <w:jc w:val="both"/>
            </w:pPr>
            <w:proofErr w:type="gramStart"/>
            <w:r>
              <w:rPr>
                <w:rFonts w:ascii="Calibri" w:hAnsi="Calibri" w:cs="Calibri"/>
              </w:rPr>
              <w:t>...[</w:t>
            </w:r>
            <w:proofErr w:type="gramEnd"/>
            <w:r>
              <w:rPr>
                <w:rFonts w:ascii="Calibri" w:hAnsi="Calibri" w:cs="Calibri"/>
              </w:rPr>
              <w:t>продавец - ред.], подписывая оспариваемый договор, определенно выразил свою волю на отчуждение своей доли в размере 50% в уставном капитале ООО... по цене 5000 руб., указанной в договоре, а... [покупатель - ред.], в свою очередь, волю на приобретение названной доли по установленной договором цене. Доказательств достижения между сторонами договоренности об иной цене доли материалы дела не содержат..."</w:t>
            </w:r>
          </w:p>
          <w:p w:rsidR="00C22AE6" w:rsidRDefault="00C22AE6" w:rsidP="00503822">
            <w:pPr>
              <w:spacing w:after="0" w:line="220" w:lineRule="auto"/>
              <w:jc w:val="both"/>
            </w:pPr>
            <w:r>
              <w:rPr>
                <w:rFonts w:ascii="Calibri" w:hAnsi="Calibri" w:cs="Calibri"/>
                <w:b/>
              </w:rPr>
              <w:t>Аналогичная позиция найдена в следующих судебных актах:</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765"/>
              <w:gridCol w:w="9797"/>
              <w:gridCol w:w="180"/>
            </w:tblGrid>
            <w:tr w:rsidR="00C22AE6">
              <w:tc>
                <w:tcPr>
                  <w:tcW w:w="180" w:type="dxa"/>
                  <w:tcBorders>
                    <w:top w:val="nil"/>
                    <w:left w:val="nil"/>
                    <w:bottom w:val="nil"/>
                    <w:right w:val="nil"/>
                  </w:tcBorders>
                  <w:tcMar>
                    <w:top w:w="0" w:type="dxa"/>
                    <w:left w:w="0" w:type="dxa"/>
                    <w:bottom w:w="0" w:type="dxa"/>
                    <w:right w:w="0" w:type="dxa"/>
                  </w:tcMar>
                </w:tcPr>
                <w:p w:rsidR="00C22AE6" w:rsidRDefault="00C22AE6" w:rsidP="00503822">
                  <w:pPr>
                    <w:spacing w:after="0"/>
                  </w:pPr>
                </w:p>
              </w:tc>
              <w:tc>
                <w:tcPr>
                  <w:tcW w:w="765" w:type="dxa"/>
                  <w:tcBorders>
                    <w:top w:val="nil"/>
                    <w:left w:val="nil"/>
                    <w:bottom w:val="nil"/>
                    <w:right w:val="nil"/>
                  </w:tcBorders>
                  <w:tcMar>
                    <w:top w:w="180" w:type="dxa"/>
                    <w:left w:w="0" w:type="dxa"/>
                    <w:bottom w:w="180" w:type="dxa"/>
                    <w:right w:w="0" w:type="dxa"/>
                  </w:tcMar>
                </w:tcPr>
                <w:p w:rsidR="00C22AE6" w:rsidRDefault="00C22AE6" w:rsidP="00503822">
                  <w:pPr>
                    <w:spacing w:after="0"/>
                  </w:pPr>
                  <w:r>
                    <w:rPr>
                      <w:noProof/>
                      <w:lang w:eastAsia="ru-RU"/>
                    </w:rPr>
                    <w:drawing>
                      <wp:inline distT="0" distB="0" distL="0" distR="0">
                        <wp:extent cx="371475" cy="1428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22AE6" w:rsidRDefault="00BA51D1" w:rsidP="00503822">
                  <w:pPr>
                    <w:spacing w:after="0" w:line="220" w:lineRule="auto"/>
                    <w:jc w:val="both"/>
                  </w:pPr>
                  <w:hyperlink r:id="rId102">
                    <w:r w:rsidR="00C22AE6">
                      <w:rPr>
                        <w:rFonts w:ascii="Calibri" w:hAnsi="Calibri" w:cs="Calibri"/>
                        <w:color w:val="0000FF"/>
                      </w:rPr>
                      <w:t>Постановление</w:t>
                    </w:r>
                  </w:hyperlink>
                  <w:r w:rsidR="00C22AE6">
                    <w:rPr>
                      <w:rFonts w:ascii="Calibri" w:hAnsi="Calibri" w:cs="Calibri"/>
                    </w:rPr>
                    <w:t xml:space="preserve"> Арбитражного суда Центрального округа от 25.07.2018 N Ф10-2723/2018 по делу N А84-4110/2017</w:t>
                  </w:r>
                </w:p>
              </w:tc>
              <w:tc>
                <w:tcPr>
                  <w:tcW w:w="180" w:type="dxa"/>
                  <w:tcBorders>
                    <w:top w:val="nil"/>
                    <w:left w:val="nil"/>
                    <w:bottom w:val="nil"/>
                    <w:right w:val="nil"/>
                  </w:tcBorders>
                  <w:tcMar>
                    <w:top w:w="0" w:type="dxa"/>
                    <w:left w:w="0" w:type="dxa"/>
                    <w:bottom w:w="0" w:type="dxa"/>
                    <w:right w:w="0" w:type="dxa"/>
                  </w:tcMar>
                </w:tcPr>
                <w:p w:rsidR="00C22AE6" w:rsidRDefault="00C22AE6" w:rsidP="00503822">
                  <w:pPr>
                    <w:spacing w:after="0"/>
                  </w:pPr>
                </w:p>
              </w:tc>
            </w:tr>
          </w:tbl>
          <w:p w:rsidR="00C22AE6" w:rsidRDefault="00C22AE6" w:rsidP="00503822">
            <w:pPr>
              <w:spacing w:after="0"/>
            </w:pPr>
          </w:p>
        </w:tc>
      </w:tr>
    </w:tbl>
    <w:p w:rsidR="00C22AE6" w:rsidRDefault="00C22AE6" w:rsidP="00503822">
      <w:pPr>
        <w:pStyle w:val="ConsPlusNormal"/>
      </w:pPr>
      <w:r>
        <w:lastRenderedPageBreak/>
        <w:t>…….</w:t>
      </w:r>
    </w:p>
    <w:p w:rsidR="00C22AE6" w:rsidRPr="00C22AE6" w:rsidRDefault="00C22AE6" w:rsidP="00503822">
      <w:pPr>
        <w:pStyle w:val="ConsPlusNormal"/>
        <w:pBdr>
          <w:top w:val="single" w:sz="12" w:space="1" w:color="auto"/>
          <w:bottom w:val="single" w:sz="12" w:space="1" w:color="auto"/>
        </w:pBdr>
        <w:rPr>
          <w:sz w:val="2"/>
          <w:szCs w:val="2"/>
        </w:rPr>
      </w:pPr>
    </w:p>
    <w:p w:rsidR="00C22AE6" w:rsidRDefault="00BA51D1" w:rsidP="00503822">
      <w:pPr>
        <w:spacing w:after="0" w:line="220" w:lineRule="auto"/>
      </w:pPr>
      <w:hyperlink r:id="rId103">
        <w:r w:rsidR="00C22AE6">
          <w:rPr>
            <w:rFonts w:ascii="Calibri" w:hAnsi="Calibri" w:cs="Calibri"/>
            <w:i/>
            <w:color w:val="0000FF"/>
          </w:rPr>
          <w:br/>
          <w:t>Статья: Продажа физическим лицом долей участия в ООО и акций: НДФЛ (</w:t>
        </w:r>
        <w:proofErr w:type="spellStart"/>
        <w:r w:rsidR="00C22AE6">
          <w:rPr>
            <w:rFonts w:ascii="Calibri" w:hAnsi="Calibri" w:cs="Calibri"/>
            <w:i/>
            <w:color w:val="0000FF"/>
          </w:rPr>
          <w:t>Габелли</w:t>
        </w:r>
        <w:proofErr w:type="spellEnd"/>
        <w:r w:rsidR="00C22AE6">
          <w:rPr>
            <w:rFonts w:ascii="Calibri" w:hAnsi="Calibri" w:cs="Calibri"/>
            <w:i/>
            <w:color w:val="0000FF"/>
          </w:rPr>
          <w:t xml:space="preserve"> Г.К.) ("Жилищно-коммунальное хозяйство: бухгалтерский учет и налогообложение", 2023, N 5) {</w:t>
        </w:r>
        <w:proofErr w:type="spellStart"/>
        <w:r w:rsidR="00C22AE6">
          <w:rPr>
            <w:rFonts w:ascii="Calibri" w:hAnsi="Calibri" w:cs="Calibri"/>
            <w:i/>
            <w:color w:val="0000FF"/>
          </w:rPr>
          <w:t>КонсультантПлюс</w:t>
        </w:r>
        <w:proofErr w:type="spellEnd"/>
        <w:r w:rsidR="00C22AE6">
          <w:rPr>
            <w:rFonts w:ascii="Calibri" w:hAnsi="Calibri" w:cs="Calibri"/>
            <w:i/>
            <w:color w:val="0000FF"/>
          </w:rPr>
          <w:t>}</w:t>
        </w:r>
      </w:hyperlink>
      <w:r w:rsidR="00C22AE6">
        <w:rPr>
          <w:rFonts w:ascii="Calibri" w:hAnsi="Calibri" w:cs="Calibri"/>
        </w:rPr>
        <w:br/>
      </w:r>
    </w:p>
    <w:p w:rsidR="00C22AE6" w:rsidRDefault="00C22AE6" w:rsidP="00503822">
      <w:pPr>
        <w:spacing w:after="0" w:line="220" w:lineRule="auto"/>
        <w:jc w:val="right"/>
      </w:pPr>
      <w:r>
        <w:rPr>
          <w:rFonts w:ascii="Calibri" w:hAnsi="Calibri" w:cs="Calibri"/>
        </w:rPr>
        <w:t>"Жилищно-коммунальное хозяйство: бухгалтерский учет и налогообложение", 2023, N 5</w:t>
      </w:r>
    </w:p>
    <w:p w:rsidR="00C22AE6" w:rsidRDefault="00C22AE6" w:rsidP="00503822">
      <w:pPr>
        <w:spacing w:after="0" w:line="220" w:lineRule="auto"/>
        <w:jc w:val="both"/>
        <w:outlineLvl w:val="0"/>
      </w:pPr>
    </w:p>
    <w:p w:rsidR="00C22AE6" w:rsidRDefault="00C22AE6" w:rsidP="00503822">
      <w:pPr>
        <w:spacing w:after="0" w:line="220" w:lineRule="auto"/>
        <w:jc w:val="center"/>
      </w:pPr>
      <w:r>
        <w:rPr>
          <w:rFonts w:ascii="Calibri" w:hAnsi="Calibri" w:cs="Calibri"/>
          <w:b/>
        </w:rPr>
        <w:t>ПРОДАЖА ФИЗИЧЕСКИМ ЛИЦОМ ДОЛЕЙ УЧАСТИЯ В ООО И АКЦИЙ: НДФЛ</w:t>
      </w:r>
    </w:p>
    <w:p w:rsidR="00C22AE6" w:rsidRDefault="00C22AE6" w:rsidP="00503822">
      <w:pPr>
        <w:spacing w:after="0" w:line="220" w:lineRule="auto"/>
        <w:jc w:val="both"/>
      </w:pPr>
    </w:p>
    <w:p w:rsidR="00C22AE6" w:rsidRDefault="00C22AE6" w:rsidP="00503822">
      <w:pPr>
        <w:spacing w:after="0" w:line="220" w:lineRule="auto"/>
        <w:ind w:firstLine="540"/>
        <w:jc w:val="both"/>
      </w:pPr>
      <w:r>
        <w:rPr>
          <w:rFonts w:ascii="Calibri" w:hAnsi="Calibri" w:cs="Calibri"/>
        </w:rPr>
        <w:t>Освобождается ли от обложения НДФЛ доход физического лица (участника, акционера) от продажи им долей участия в российских ООО и АО по цене выше стоимости приобретения, если срок владения долей (акциями) составляет более пяти лет? Можно ли рассчитывать на освобождение, если до продажи увеличивается уставный капитал ООО пропорционально имеющимся у участников долям? В случае увеличения уставного капитала АО прерывается ли срок владения акциями?</w:t>
      </w:r>
    </w:p>
    <w:p w:rsidR="00C22AE6" w:rsidRDefault="00C22AE6" w:rsidP="00503822">
      <w:pPr>
        <w:spacing w:after="0" w:line="220" w:lineRule="auto"/>
        <w:jc w:val="both"/>
      </w:pPr>
    </w:p>
    <w:p w:rsidR="00C22AE6" w:rsidRDefault="00C22AE6" w:rsidP="00503822">
      <w:pPr>
        <w:spacing w:after="0" w:line="220" w:lineRule="auto"/>
        <w:jc w:val="center"/>
        <w:outlineLvl w:val="0"/>
      </w:pPr>
      <w:r>
        <w:rPr>
          <w:rFonts w:ascii="Calibri" w:hAnsi="Calibri" w:cs="Calibri"/>
          <w:b/>
        </w:rPr>
        <w:t xml:space="preserve">Нормы </w:t>
      </w:r>
      <w:hyperlink r:id="rId104">
        <w:r>
          <w:rPr>
            <w:rFonts w:ascii="Calibri" w:hAnsi="Calibri" w:cs="Calibri"/>
            <w:b/>
            <w:color w:val="0000FF"/>
          </w:rPr>
          <w:t>главы 23</w:t>
        </w:r>
      </w:hyperlink>
      <w:r>
        <w:rPr>
          <w:rFonts w:ascii="Calibri" w:hAnsi="Calibri" w:cs="Calibri"/>
          <w:b/>
        </w:rPr>
        <w:t xml:space="preserve"> Налогового кодекса</w:t>
      </w:r>
    </w:p>
    <w:p w:rsidR="00C22AE6" w:rsidRDefault="00C22AE6" w:rsidP="00503822">
      <w:pPr>
        <w:spacing w:after="0" w:line="220" w:lineRule="auto"/>
        <w:jc w:val="both"/>
      </w:pPr>
    </w:p>
    <w:p w:rsidR="00C22AE6" w:rsidRDefault="00C22AE6" w:rsidP="00503822">
      <w:pPr>
        <w:spacing w:after="0" w:line="220" w:lineRule="auto"/>
        <w:ind w:firstLine="540"/>
        <w:jc w:val="both"/>
      </w:pPr>
      <w:r>
        <w:rPr>
          <w:rFonts w:ascii="Calibri" w:hAnsi="Calibri" w:cs="Calibri"/>
        </w:rPr>
        <w:t xml:space="preserve">Согласно </w:t>
      </w:r>
      <w:hyperlink r:id="rId105">
        <w:r>
          <w:rPr>
            <w:rFonts w:ascii="Calibri" w:hAnsi="Calibri" w:cs="Calibri"/>
            <w:color w:val="0000FF"/>
          </w:rPr>
          <w:t>п. 1 ст. 210</w:t>
        </w:r>
      </w:hyperlink>
      <w:r>
        <w:rPr>
          <w:rFonts w:ascii="Calibri" w:hAnsi="Calibri" w:cs="Calibri"/>
        </w:rPr>
        <w:t xml:space="preserve"> НК РФ при определении облагаемой базы по НДФЛ учитываются все доходы физического лица - налогоплательщика, которые получены им как в денежной, так и в натуральной форме или право на распоряжение которыми у него возникло, а также доходы в виде материальной выгоды, определяемой в соответствии со </w:t>
      </w:r>
      <w:hyperlink r:id="rId106">
        <w:r>
          <w:rPr>
            <w:rFonts w:ascii="Calibri" w:hAnsi="Calibri" w:cs="Calibri"/>
            <w:color w:val="0000FF"/>
          </w:rPr>
          <w:t>ст. 212</w:t>
        </w:r>
      </w:hyperlink>
      <w:r>
        <w:rPr>
          <w:rFonts w:ascii="Calibri" w:hAnsi="Calibri" w:cs="Calibri"/>
        </w:rPr>
        <w:t xml:space="preserve"> НК РФ.</w:t>
      </w:r>
    </w:p>
    <w:p w:rsidR="00C22AE6" w:rsidRDefault="00C22AE6" w:rsidP="00503822">
      <w:pPr>
        <w:spacing w:after="0" w:line="220" w:lineRule="auto"/>
        <w:ind w:firstLine="540"/>
        <w:jc w:val="both"/>
      </w:pPr>
      <w:r>
        <w:rPr>
          <w:rFonts w:ascii="Calibri" w:hAnsi="Calibri" w:cs="Calibri"/>
        </w:rPr>
        <w:t xml:space="preserve">Перечень доходов, не облагаемых НДФЛ, приведен в </w:t>
      </w:r>
      <w:hyperlink r:id="rId107">
        <w:r>
          <w:rPr>
            <w:rFonts w:ascii="Calibri" w:hAnsi="Calibri" w:cs="Calibri"/>
            <w:color w:val="0000FF"/>
          </w:rPr>
          <w:t>ст. 217</w:t>
        </w:r>
      </w:hyperlink>
      <w:r>
        <w:rPr>
          <w:rFonts w:ascii="Calibri" w:hAnsi="Calibri" w:cs="Calibri"/>
        </w:rPr>
        <w:t xml:space="preserve"> НК РФ.</w:t>
      </w:r>
    </w:p>
    <w:p w:rsidR="00C22AE6" w:rsidRDefault="00C22AE6" w:rsidP="00503822">
      <w:pPr>
        <w:spacing w:after="0" w:line="220" w:lineRule="auto"/>
        <w:ind w:firstLine="540"/>
        <w:jc w:val="both"/>
      </w:pPr>
      <w:r>
        <w:rPr>
          <w:rFonts w:ascii="Calibri" w:hAnsi="Calibri" w:cs="Calibri"/>
        </w:rPr>
        <w:t xml:space="preserve">В силу </w:t>
      </w:r>
      <w:hyperlink r:id="rId108">
        <w:proofErr w:type="spellStart"/>
        <w:r>
          <w:rPr>
            <w:rFonts w:ascii="Calibri" w:hAnsi="Calibri" w:cs="Calibri"/>
            <w:color w:val="0000FF"/>
          </w:rPr>
          <w:t>абз</w:t>
        </w:r>
        <w:proofErr w:type="spellEnd"/>
        <w:r>
          <w:rPr>
            <w:rFonts w:ascii="Calibri" w:hAnsi="Calibri" w:cs="Calibri"/>
            <w:color w:val="0000FF"/>
          </w:rPr>
          <w:t>. 1</w:t>
        </w:r>
      </w:hyperlink>
      <w:r>
        <w:rPr>
          <w:rFonts w:ascii="Calibri" w:hAnsi="Calibri" w:cs="Calibri"/>
        </w:rPr>
        <w:t xml:space="preserve">, </w:t>
      </w:r>
      <w:hyperlink r:id="rId109">
        <w:r>
          <w:rPr>
            <w:rFonts w:ascii="Calibri" w:hAnsi="Calibri" w:cs="Calibri"/>
            <w:color w:val="0000FF"/>
          </w:rPr>
          <w:t>2 п. 17.2 ст. 217</w:t>
        </w:r>
      </w:hyperlink>
      <w:r>
        <w:rPr>
          <w:rFonts w:ascii="Calibri" w:hAnsi="Calibri" w:cs="Calibri"/>
        </w:rPr>
        <w:t xml:space="preserve"> не подлежат налогообложению доходы, получаемые от реализации (погашения) долей участия в уставном капитале российских организаций, а также акций, указанных в </w:t>
      </w:r>
      <w:hyperlink r:id="rId110">
        <w:r>
          <w:rPr>
            <w:rFonts w:ascii="Calibri" w:hAnsi="Calibri" w:cs="Calibri"/>
            <w:color w:val="0000FF"/>
          </w:rPr>
          <w:t>п. 2 ст. 284.2</w:t>
        </w:r>
      </w:hyperlink>
      <w:r>
        <w:rPr>
          <w:rFonts w:ascii="Calibri" w:hAnsi="Calibri" w:cs="Calibri"/>
        </w:rPr>
        <w:t xml:space="preserve"> НК РФ, при условии, что на дату реализации (погашения) таких акций (долей участия) они непрерывно принадлежали налогоплательщику на праве собственности или ином вещном праве более пяти лет.</w:t>
      </w:r>
    </w:p>
    <w:p w:rsidR="00C22AE6" w:rsidRDefault="00C22AE6" w:rsidP="00503822">
      <w:pPr>
        <w:spacing w:after="0" w:line="220" w:lineRule="auto"/>
        <w:ind w:firstLine="540"/>
        <w:jc w:val="both"/>
      </w:pPr>
      <w:r>
        <w:rPr>
          <w:rFonts w:ascii="Calibri" w:hAnsi="Calibri" w:cs="Calibri"/>
        </w:rPr>
        <w:t>При реализации акций (долей, паев), полученных налогоплательщиком в результате реорганизации организаций, срок нахождения таких акций в собственности налогоплательщика исчисляется с даты приобретения им в собственность акций (долей, паев) реорганизуемых организаций. При реализации акций АО, полученных налогоплательщиком в результате реорганизации негосударственного пенсионного фонда, являющегося некоммерческой организацией, срок нахождения таких акций в собственности налогоплательщика исчисляется с даты внесения взноса (дополнительного взноса) в совокупный вклад учредителей реорганизуемого фонда.</w:t>
      </w:r>
    </w:p>
    <w:p w:rsidR="00C22AE6" w:rsidRDefault="00C22AE6" w:rsidP="00503822">
      <w:pPr>
        <w:spacing w:after="0" w:line="220" w:lineRule="auto"/>
        <w:jc w:val="both"/>
      </w:pPr>
    </w:p>
    <w:p w:rsidR="00C22AE6" w:rsidRDefault="00C22AE6" w:rsidP="00503822">
      <w:pPr>
        <w:spacing w:after="0" w:line="220" w:lineRule="auto"/>
        <w:ind w:firstLine="540"/>
        <w:jc w:val="both"/>
      </w:pPr>
      <w:r>
        <w:rPr>
          <w:rFonts w:ascii="Calibri" w:hAnsi="Calibri" w:cs="Calibri"/>
        </w:rPr>
        <w:t>К сведению. Также не подлежат обложению НДФЛ доходы от реализации акций (долей участия в уставном капитале) российских организаций, полученные в 2022 году по сделкам, заключенным в 2022 году, налогоплательщиком, в отношении которого на дату заключения таких сделок иностранными государствами, экономическими, политическими, военными или иными объединениями стран, международными финансовыми и иными организациями были установлены запретительные, ограничительные и (или) иные аналогичные меры, введенные в 2022 году и заключающиеся в установлении запретов и (или) ограничений на проведение расчетов и (или) осуществление финансовых операций, запретов или ограничений на проведение операций, связанных с заемным финансированием и (или) приобретением либо отчуждением ценных бумаг (долей участия в уставном капитале), при условии, что на дату реализации таких акций (долей участия в уставном капитале) они непрерывно принадлежали налогоплательщику на праве собственности или ином вещном праве более одного года.</w:t>
      </w:r>
    </w:p>
    <w:p w:rsidR="00C22AE6" w:rsidRDefault="00C22AE6" w:rsidP="00503822">
      <w:pPr>
        <w:spacing w:after="0" w:line="220" w:lineRule="auto"/>
        <w:jc w:val="both"/>
      </w:pPr>
    </w:p>
    <w:p w:rsidR="00C22AE6" w:rsidRDefault="00C22AE6" w:rsidP="00503822">
      <w:pPr>
        <w:spacing w:after="0" w:line="220" w:lineRule="auto"/>
        <w:ind w:firstLine="540"/>
        <w:jc w:val="both"/>
      </w:pPr>
      <w:r>
        <w:rPr>
          <w:rFonts w:ascii="Calibri" w:hAnsi="Calibri" w:cs="Calibri"/>
        </w:rPr>
        <w:t xml:space="preserve">На основании </w:t>
      </w:r>
      <w:hyperlink r:id="rId111">
        <w:r>
          <w:rPr>
            <w:rFonts w:ascii="Calibri" w:hAnsi="Calibri" w:cs="Calibri"/>
            <w:color w:val="0000FF"/>
          </w:rPr>
          <w:t>п. 17.2-1 ст. 217</w:t>
        </w:r>
      </w:hyperlink>
      <w:r>
        <w:rPr>
          <w:rFonts w:ascii="Calibri" w:hAnsi="Calibri" w:cs="Calibri"/>
        </w:rPr>
        <w:t xml:space="preserve"> НК РФ не подлежат налогообложению доходы, получаемые от реализации (погашения) акций, облигаций российских организаций, инвестиционных паев, при условии, что на дату их реализации (погашения) они непрерывно принадлежали налогоплательщику на праве собственности или ином вещном праве более одного года и в отношении них соблюдается одно из следующих условий:</w:t>
      </w:r>
    </w:p>
    <w:p w:rsidR="00C22AE6" w:rsidRDefault="00C22AE6" w:rsidP="00503822">
      <w:pPr>
        <w:spacing w:after="0" w:line="220" w:lineRule="auto"/>
        <w:ind w:firstLine="540"/>
        <w:jc w:val="both"/>
      </w:pPr>
      <w:r>
        <w:rPr>
          <w:rFonts w:ascii="Calibri" w:hAnsi="Calibri" w:cs="Calibri"/>
        </w:rPr>
        <w:t>- акции, облигации российских организаций, инвестиционные паи относятся к ценным бумагам, обращающимся на организованном рынке ценных бумаг, и в течение всего срока владения налогоплательщиком такими ценными бумагами являются ценными бумагами высокотехнологичного (инновационного) сектора экономики;</w:t>
      </w:r>
    </w:p>
    <w:p w:rsidR="00C22AE6" w:rsidRDefault="00C22AE6" w:rsidP="00503822">
      <w:pPr>
        <w:spacing w:after="0" w:line="220" w:lineRule="auto"/>
        <w:ind w:firstLine="540"/>
        <w:jc w:val="both"/>
      </w:pPr>
      <w:r>
        <w:rPr>
          <w:rFonts w:ascii="Calibri" w:hAnsi="Calibri" w:cs="Calibri"/>
        </w:rPr>
        <w:t>- акции, облигации российских организаций, инвестиционные паи на дату их приобретения налогоплательщиком относятся к ценным бумагам, не обращающимся на организованном рынке ценных бумаг, и на дату их реализации указанным налогоплательщиком или погашения относятся к ценным бумагам, обращающимся на организованном рынке ценных бумаг и являющимся ценными бумагами высокотехнологичного (инновационного) сектора экономики.</w:t>
      </w:r>
    </w:p>
    <w:p w:rsidR="00C22AE6" w:rsidRDefault="00C22AE6" w:rsidP="00503822">
      <w:pPr>
        <w:spacing w:after="0" w:line="220" w:lineRule="auto"/>
        <w:ind w:firstLine="540"/>
        <w:jc w:val="both"/>
      </w:pPr>
      <w:r>
        <w:rPr>
          <w:rFonts w:ascii="Calibri" w:hAnsi="Calibri" w:cs="Calibri"/>
        </w:rPr>
        <w:t xml:space="preserve">Порядок отнесения акций российских организаций, обращающихся на организованном рынке ценных бумаг, к ценным бумагам высокотехнологичного (инновационного) сектора экономики определяется в соответствии с </w:t>
      </w:r>
      <w:hyperlink r:id="rId112">
        <w:r>
          <w:rPr>
            <w:rFonts w:ascii="Calibri" w:hAnsi="Calibri" w:cs="Calibri"/>
            <w:color w:val="0000FF"/>
          </w:rPr>
          <w:t>п. 3 ст. 284.2</w:t>
        </w:r>
      </w:hyperlink>
      <w:r>
        <w:rPr>
          <w:rFonts w:ascii="Calibri" w:hAnsi="Calibri" w:cs="Calibri"/>
        </w:rPr>
        <w:t xml:space="preserve"> НК РФ.</w:t>
      </w:r>
    </w:p>
    <w:p w:rsidR="00C22AE6" w:rsidRDefault="00C22AE6" w:rsidP="00503822">
      <w:pPr>
        <w:spacing w:after="0" w:line="220" w:lineRule="auto"/>
        <w:ind w:firstLine="540"/>
        <w:jc w:val="both"/>
      </w:pPr>
      <w:r>
        <w:rPr>
          <w:rFonts w:ascii="Calibri" w:hAnsi="Calibri" w:cs="Calibri"/>
        </w:rPr>
        <w:lastRenderedPageBreak/>
        <w:t>Порядок отнесения облигаций российских организаций и инвестиционных паев, обращающихся на организованном рынке ценных бумаг, к ценным бумагам высокотехнологичного (инновационного) сектора экономики устанавливается Правительством Российской Федерации.</w:t>
      </w:r>
    </w:p>
    <w:p w:rsidR="00C22AE6" w:rsidRDefault="00C22AE6" w:rsidP="00503822">
      <w:pPr>
        <w:spacing w:after="0" w:line="220" w:lineRule="auto"/>
        <w:ind w:firstLine="540"/>
        <w:jc w:val="both"/>
      </w:pPr>
      <w:r>
        <w:rPr>
          <w:rFonts w:ascii="Calibri" w:hAnsi="Calibri" w:cs="Calibri"/>
        </w:rPr>
        <w:t xml:space="preserve">Исходим из того, что льгота, предусмотренная </w:t>
      </w:r>
      <w:hyperlink r:id="rId113">
        <w:r>
          <w:rPr>
            <w:rFonts w:ascii="Calibri" w:hAnsi="Calibri" w:cs="Calibri"/>
            <w:color w:val="0000FF"/>
          </w:rPr>
          <w:t>п. 17.2-1 ст. 217</w:t>
        </w:r>
      </w:hyperlink>
      <w:r>
        <w:rPr>
          <w:rFonts w:ascii="Calibri" w:hAnsi="Calibri" w:cs="Calibri"/>
        </w:rPr>
        <w:t xml:space="preserve"> НК РФ, не срабатывает.</w:t>
      </w:r>
    </w:p>
    <w:p w:rsidR="00C22AE6" w:rsidRDefault="00C22AE6" w:rsidP="00503822">
      <w:pPr>
        <w:spacing w:after="0" w:line="220" w:lineRule="auto"/>
        <w:jc w:val="both"/>
      </w:pPr>
    </w:p>
    <w:p w:rsidR="00C22AE6" w:rsidRDefault="00C22AE6" w:rsidP="00503822">
      <w:pPr>
        <w:spacing w:after="0" w:line="220" w:lineRule="auto"/>
        <w:jc w:val="center"/>
        <w:outlineLvl w:val="0"/>
      </w:pPr>
      <w:r>
        <w:rPr>
          <w:rFonts w:ascii="Calibri" w:hAnsi="Calibri" w:cs="Calibri"/>
          <w:b/>
        </w:rPr>
        <w:t>Продажа доли в ООО</w:t>
      </w:r>
    </w:p>
    <w:p w:rsidR="00C22AE6" w:rsidRDefault="00C22AE6" w:rsidP="00503822">
      <w:pPr>
        <w:spacing w:after="0" w:line="220" w:lineRule="auto"/>
        <w:jc w:val="both"/>
      </w:pPr>
    </w:p>
    <w:p w:rsidR="00C22AE6" w:rsidRDefault="00C22AE6" w:rsidP="00503822">
      <w:pPr>
        <w:spacing w:after="0" w:line="220" w:lineRule="auto"/>
        <w:ind w:firstLine="540"/>
        <w:jc w:val="both"/>
      </w:pPr>
      <w:r>
        <w:rPr>
          <w:rFonts w:ascii="Calibri" w:hAnsi="Calibri" w:cs="Calibri"/>
        </w:rPr>
        <w:t xml:space="preserve">Считаем, что имеющаяся в </w:t>
      </w:r>
      <w:hyperlink r:id="rId114">
        <w:proofErr w:type="spellStart"/>
        <w:r>
          <w:rPr>
            <w:rFonts w:ascii="Calibri" w:hAnsi="Calibri" w:cs="Calibri"/>
            <w:color w:val="0000FF"/>
          </w:rPr>
          <w:t>абз</w:t>
        </w:r>
        <w:proofErr w:type="spellEnd"/>
        <w:r>
          <w:rPr>
            <w:rFonts w:ascii="Calibri" w:hAnsi="Calibri" w:cs="Calibri"/>
            <w:color w:val="0000FF"/>
          </w:rPr>
          <w:t>. 1 п. 17.2 ст. 217</w:t>
        </w:r>
      </w:hyperlink>
      <w:r>
        <w:rPr>
          <w:rFonts w:ascii="Calibri" w:hAnsi="Calibri" w:cs="Calibri"/>
        </w:rPr>
        <w:t xml:space="preserve"> НК РФ отсылка к </w:t>
      </w:r>
      <w:hyperlink r:id="rId115">
        <w:r>
          <w:rPr>
            <w:rFonts w:ascii="Calibri" w:hAnsi="Calibri" w:cs="Calibri"/>
            <w:color w:val="0000FF"/>
          </w:rPr>
          <w:t>п. 2 ст. 284.2</w:t>
        </w:r>
      </w:hyperlink>
      <w:r>
        <w:rPr>
          <w:rFonts w:ascii="Calibri" w:hAnsi="Calibri" w:cs="Calibri"/>
        </w:rPr>
        <w:t xml:space="preserve"> НК РФ относится только к акциям (и не касается долей участия в уставном капитале российской организации). Подтверждение этому можно найти в Письмах Минфина России от 29.12.2022 </w:t>
      </w:r>
      <w:hyperlink r:id="rId116">
        <w:r>
          <w:rPr>
            <w:rFonts w:ascii="Calibri" w:hAnsi="Calibri" w:cs="Calibri"/>
            <w:color w:val="0000FF"/>
          </w:rPr>
          <w:t>N 03-04-05/129409</w:t>
        </w:r>
      </w:hyperlink>
      <w:r>
        <w:rPr>
          <w:rFonts w:ascii="Calibri" w:hAnsi="Calibri" w:cs="Calibri"/>
        </w:rPr>
        <w:t xml:space="preserve">, от 14.12.2022 </w:t>
      </w:r>
      <w:hyperlink r:id="rId117">
        <w:r>
          <w:rPr>
            <w:rFonts w:ascii="Calibri" w:hAnsi="Calibri" w:cs="Calibri"/>
            <w:color w:val="0000FF"/>
          </w:rPr>
          <w:t>N 03-04-05/122677</w:t>
        </w:r>
      </w:hyperlink>
      <w:r>
        <w:rPr>
          <w:rFonts w:ascii="Calibri" w:hAnsi="Calibri" w:cs="Calibri"/>
        </w:rPr>
        <w:t xml:space="preserve">, от 12.10.2022 </w:t>
      </w:r>
      <w:hyperlink r:id="rId118">
        <w:r>
          <w:rPr>
            <w:rFonts w:ascii="Calibri" w:hAnsi="Calibri" w:cs="Calibri"/>
            <w:color w:val="0000FF"/>
          </w:rPr>
          <w:t>N 03-04-05/98648</w:t>
        </w:r>
      </w:hyperlink>
      <w:r>
        <w:rPr>
          <w:rFonts w:ascii="Calibri" w:hAnsi="Calibri" w:cs="Calibri"/>
        </w:rPr>
        <w:t xml:space="preserve">, от 15.09.2022 </w:t>
      </w:r>
      <w:hyperlink r:id="rId119">
        <w:r>
          <w:rPr>
            <w:rFonts w:ascii="Calibri" w:hAnsi="Calibri" w:cs="Calibri"/>
            <w:color w:val="0000FF"/>
          </w:rPr>
          <w:t>N 03-04-06/89360</w:t>
        </w:r>
      </w:hyperlink>
      <w:r>
        <w:rPr>
          <w:rFonts w:ascii="Calibri" w:hAnsi="Calibri" w:cs="Calibri"/>
        </w:rPr>
        <w:t xml:space="preserve">, от 13.09.2022 </w:t>
      </w:r>
      <w:hyperlink r:id="rId120">
        <w:r>
          <w:rPr>
            <w:rFonts w:ascii="Calibri" w:hAnsi="Calibri" w:cs="Calibri"/>
            <w:color w:val="0000FF"/>
          </w:rPr>
          <w:t>N 03-04-06/88777</w:t>
        </w:r>
      </w:hyperlink>
      <w:r>
        <w:rPr>
          <w:rFonts w:ascii="Calibri" w:hAnsi="Calibri" w:cs="Calibri"/>
        </w:rPr>
        <w:t xml:space="preserve">, от 17.08.2022 </w:t>
      </w:r>
      <w:hyperlink r:id="rId121">
        <w:r>
          <w:rPr>
            <w:rFonts w:ascii="Calibri" w:hAnsi="Calibri" w:cs="Calibri"/>
            <w:color w:val="0000FF"/>
          </w:rPr>
          <w:t>N 03-04-06/80175</w:t>
        </w:r>
      </w:hyperlink>
      <w:r>
        <w:rPr>
          <w:rFonts w:ascii="Calibri" w:hAnsi="Calibri" w:cs="Calibri"/>
        </w:rPr>
        <w:t xml:space="preserve">. Финансисты исходят из того, что на основании </w:t>
      </w:r>
      <w:hyperlink r:id="rId122">
        <w:r>
          <w:rPr>
            <w:rFonts w:ascii="Calibri" w:hAnsi="Calibri" w:cs="Calibri"/>
            <w:color w:val="0000FF"/>
          </w:rPr>
          <w:t>п. 17.2 ст. 217</w:t>
        </w:r>
      </w:hyperlink>
      <w:r>
        <w:rPr>
          <w:rFonts w:ascii="Calibri" w:hAnsi="Calibri" w:cs="Calibri"/>
        </w:rPr>
        <w:t xml:space="preserve"> НК РФ не подлежат обложению НДФЛ доходы, в частности, получаемые от реализации долей участия в уставном капитале российских организаций, при условии, что на дату реализации таких долей они непрерывно принадлежали налогоплательщику на праве собственности или ином вещном праве более пяти лет.</w:t>
      </w:r>
    </w:p>
    <w:p w:rsidR="00C22AE6" w:rsidRDefault="00C22AE6" w:rsidP="00503822">
      <w:pPr>
        <w:spacing w:after="0" w:line="220" w:lineRule="auto"/>
        <w:ind w:firstLine="540"/>
        <w:jc w:val="both"/>
      </w:pPr>
      <w:r>
        <w:rPr>
          <w:rFonts w:ascii="Calibri" w:hAnsi="Calibri" w:cs="Calibri"/>
        </w:rPr>
        <w:t xml:space="preserve">Таким образом, при соблюдении установленных законодательством РФ о налогах и сборах условий доходы, получаемые от отчуждения доли участия в уставном капитале российской организации, не облагаются НДФЛ. Если условия, определенные указанным </w:t>
      </w:r>
      <w:hyperlink r:id="rId123">
        <w:r>
          <w:rPr>
            <w:rFonts w:ascii="Calibri" w:hAnsi="Calibri" w:cs="Calibri"/>
            <w:color w:val="0000FF"/>
          </w:rPr>
          <w:t>пунктом</w:t>
        </w:r>
      </w:hyperlink>
      <w:r>
        <w:rPr>
          <w:rFonts w:ascii="Calibri" w:hAnsi="Calibri" w:cs="Calibri"/>
        </w:rPr>
        <w:t xml:space="preserve">, не выполняются, то доход от реализации доли участия в уставном капитале российской организации подлежит налогообложению в порядке, предусмотренном </w:t>
      </w:r>
      <w:hyperlink r:id="rId124">
        <w:r>
          <w:rPr>
            <w:rFonts w:ascii="Calibri" w:hAnsi="Calibri" w:cs="Calibri"/>
            <w:color w:val="0000FF"/>
          </w:rPr>
          <w:t>гл. 23</w:t>
        </w:r>
      </w:hyperlink>
      <w:r>
        <w:rPr>
          <w:rFonts w:ascii="Calibri" w:hAnsi="Calibri" w:cs="Calibri"/>
        </w:rPr>
        <w:t xml:space="preserve"> НК РФ (</w:t>
      </w:r>
      <w:hyperlink r:id="rId125">
        <w:r>
          <w:rPr>
            <w:rFonts w:ascii="Calibri" w:hAnsi="Calibri" w:cs="Calibri"/>
            <w:color w:val="0000FF"/>
          </w:rPr>
          <w:t>Письмо</w:t>
        </w:r>
      </w:hyperlink>
      <w:r>
        <w:rPr>
          <w:rFonts w:ascii="Calibri" w:hAnsi="Calibri" w:cs="Calibri"/>
        </w:rPr>
        <w:t xml:space="preserve"> Минфина России от 31.03.2022 N 03-04-05/26280).</w:t>
      </w:r>
    </w:p>
    <w:p w:rsidR="00C22AE6" w:rsidRDefault="00C22AE6" w:rsidP="00503822">
      <w:pPr>
        <w:spacing w:after="0" w:line="220" w:lineRule="auto"/>
        <w:jc w:val="both"/>
      </w:pPr>
    </w:p>
    <w:p w:rsidR="00C22AE6" w:rsidRDefault="00C22AE6" w:rsidP="00503822">
      <w:pPr>
        <w:spacing w:after="0" w:line="220" w:lineRule="auto"/>
        <w:jc w:val="center"/>
        <w:outlineLvl w:val="0"/>
      </w:pPr>
      <w:r>
        <w:rPr>
          <w:rFonts w:ascii="Calibri" w:hAnsi="Calibri" w:cs="Calibri"/>
          <w:b/>
        </w:rPr>
        <w:t>Вывод</w:t>
      </w:r>
    </w:p>
    <w:p w:rsidR="00C22AE6" w:rsidRDefault="00C22AE6" w:rsidP="00503822">
      <w:pPr>
        <w:spacing w:after="0" w:line="220" w:lineRule="auto"/>
        <w:jc w:val="both"/>
      </w:pPr>
    </w:p>
    <w:p w:rsidR="00C22AE6" w:rsidRDefault="00C22AE6" w:rsidP="00503822">
      <w:pPr>
        <w:spacing w:after="0" w:line="220" w:lineRule="auto"/>
        <w:ind w:firstLine="540"/>
        <w:jc w:val="both"/>
        <w:rPr>
          <w:rFonts w:ascii="Calibri" w:hAnsi="Calibri" w:cs="Calibri"/>
        </w:rPr>
      </w:pPr>
      <w:r>
        <w:rPr>
          <w:rFonts w:ascii="Calibri" w:hAnsi="Calibri" w:cs="Calibri"/>
        </w:rPr>
        <w:t>Доходы физического лица от реализации доли в уставном капитале ООО освобождаются от обложения НДФЛ, если период непрерывного владения этой долей превышает пять лет. Освобождение применяется и в том случае, если доля продается по цене, превышающей ее номинальную стоимость (выше стоимости приобретения).</w:t>
      </w:r>
    </w:p>
    <w:p w:rsidR="00C22AE6" w:rsidRDefault="00C22AE6" w:rsidP="00503822">
      <w:pPr>
        <w:spacing w:after="0" w:line="220" w:lineRule="auto"/>
        <w:ind w:firstLine="540"/>
        <w:jc w:val="both"/>
      </w:pPr>
      <w:r>
        <w:rPr>
          <w:rFonts w:ascii="Calibri" w:hAnsi="Calibri" w:cs="Calibri"/>
        </w:rPr>
        <w:t>……</w:t>
      </w:r>
    </w:p>
    <w:p w:rsidR="00C22AE6" w:rsidRDefault="00C22AE6" w:rsidP="00503822">
      <w:pPr>
        <w:spacing w:after="0" w:line="220" w:lineRule="auto"/>
        <w:jc w:val="both"/>
      </w:pPr>
    </w:p>
    <w:p w:rsidR="00C22AE6" w:rsidRDefault="00C22AE6" w:rsidP="00503822">
      <w:pPr>
        <w:spacing w:after="0" w:line="220" w:lineRule="auto"/>
        <w:jc w:val="right"/>
      </w:pPr>
      <w:r>
        <w:rPr>
          <w:rFonts w:ascii="Calibri" w:hAnsi="Calibri" w:cs="Calibri"/>
        </w:rPr>
        <w:t xml:space="preserve">Г.К. </w:t>
      </w:r>
      <w:proofErr w:type="spellStart"/>
      <w:r>
        <w:rPr>
          <w:rFonts w:ascii="Calibri" w:hAnsi="Calibri" w:cs="Calibri"/>
        </w:rPr>
        <w:t>Габелли</w:t>
      </w:r>
      <w:proofErr w:type="spellEnd"/>
    </w:p>
    <w:p w:rsidR="00C22AE6" w:rsidRDefault="00C22AE6" w:rsidP="00503822">
      <w:pPr>
        <w:spacing w:after="0" w:line="220" w:lineRule="auto"/>
        <w:jc w:val="right"/>
      </w:pPr>
      <w:r>
        <w:rPr>
          <w:rFonts w:ascii="Calibri" w:hAnsi="Calibri" w:cs="Calibri"/>
        </w:rPr>
        <w:t>Эксперт журнала</w:t>
      </w:r>
    </w:p>
    <w:p w:rsidR="00C22AE6" w:rsidRDefault="00C22AE6" w:rsidP="00503822">
      <w:pPr>
        <w:spacing w:after="0" w:line="220" w:lineRule="auto"/>
        <w:jc w:val="right"/>
      </w:pPr>
      <w:r>
        <w:rPr>
          <w:rFonts w:ascii="Calibri" w:hAnsi="Calibri" w:cs="Calibri"/>
        </w:rPr>
        <w:t>"Жилищно-коммунальное хозяйство:</w:t>
      </w:r>
    </w:p>
    <w:p w:rsidR="00C22AE6" w:rsidRDefault="00C22AE6" w:rsidP="00503822">
      <w:pPr>
        <w:spacing w:after="0" w:line="220" w:lineRule="auto"/>
        <w:jc w:val="right"/>
      </w:pPr>
      <w:r>
        <w:rPr>
          <w:rFonts w:ascii="Calibri" w:hAnsi="Calibri" w:cs="Calibri"/>
        </w:rPr>
        <w:t>бухгалтерский учет и налогообложение"</w:t>
      </w:r>
    </w:p>
    <w:p w:rsidR="00C22AE6" w:rsidRDefault="00C22AE6" w:rsidP="00503822">
      <w:pPr>
        <w:spacing w:after="0" w:line="220" w:lineRule="auto"/>
      </w:pPr>
      <w:r>
        <w:rPr>
          <w:rFonts w:ascii="Calibri" w:hAnsi="Calibri" w:cs="Calibri"/>
        </w:rPr>
        <w:t>Подписано в печать</w:t>
      </w:r>
    </w:p>
    <w:p w:rsidR="00C22AE6" w:rsidRDefault="00C22AE6" w:rsidP="00503822">
      <w:pPr>
        <w:spacing w:after="0" w:line="220" w:lineRule="auto"/>
      </w:pPr>
      <w:r>
        <w:rPr>
          <w:rFonts w:ascii="Calibri" w:hAnsi="Calibri" w:cs="Calibri"/>
        </w:rPr>
        <w:t>02.05.2023</w:t>
      </w:r>
    </w:p>
    <w:p w:rsidR="00C22AE6" w:rsidRPr="00C22AE6" w:rsidRDefault="00C22AE6" w:rsidP="00503822">
      <w:pPr>
        <w:pStyle w:val="ConsPlusNormal"/>
        <w:pBdr>
          <w:top w:val="single" w:sz="12" w:space="1" w:color="auto"/>
          <w:bottom w:val="single" w:sz="12" w:space="1" w:color="auto"/>
        </w:pBdr>
        <w:rPr>
          <w:sz w:val="2"/>
          <w:szCs w:val="2"/>
        </w:rPr>
      </w:pPr>
    </w:p>
    <w:p w:rsidR="00C22AE6" w:rsidRDefault="00BA51D1" w:rsidP="00503822">
      <w:pPr>
        <w:pStyle w:val="ConsPlusNormal"/>
      </w:pPr>
      <w:hyperlink r:id="rId126">
        <w:r w:rsidR="00C22AE6">
          <w:rPr>
            <w:i/>
            <w:color w:val="0000FF"/>
          </w:rPr>
          <w:br/>
          <w:t xml:space="preserve">{Вопрос: Правомерно ли оспаривание сделки по отчуждению доли в уставном капитале по основанию несоответствия цены доли ее действительной (рыночной) стоимости? (Подготовлен для системы </w:t>
        </w:r>
        <w:proofErr w:type="spellStart"/>
        <w:r w:rsidR="00C22AE6">
          <w:rPr>
            <w:i/>
            <w:color w:val="0000FF"/>
          </w:rPr>
          <w:t>КонсультантПлюс</w:t>
        </w:r>
        <w:proofErr w:type="spellEnd"/>
        <w:r w:rsidR="00C22AE6">
          <w:rPr>
            <w:i/>
            <w:color w:val="0000FF"/>
          </w:rPr>
          <w:t>, 2024) {</w:t>
        </w:r>
        <w:proofErr w:type="spellStart"/>
        <w:r w:rsidR="00C22AE6">
          <w:rPr>
            <w:i/>
            <w:color w:val="0000FF"/>
          </w:rPr>
          <w:t>КонсультантПлюс</w:t>
        </w:r>
        <w:proofErr w:type="spellEnd"/>
        <w:r w:rsidR="00C22AE6">
          <w:rPr>
            <w:i/>
            <w:color w:val="0000FF"/>
          </w:rPr>
          <w:t>}}</w:t>
        </w:r>
      </w:hyperlink>
      <w:r w:rsidR="00C22AE6">
        <w:br/>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1054"/>
        <w:gridCol w:w="113"/>
      </w:tblGrid>
      <w:tr w:rsidR="00C22AE6">
        <w:tc>
          <w:tcPr>
            <w:tcW w:w="60" w:type="dxa"/>
            <w:tcBorders>
              <w:top w:val="nil"/>
              <w:left w:val="nil"/>
              <w:bottom w:val="nil"/>
              <w:right w:val="nil"/>
            </w:tcBorders>
            <w:shd w:val="clear" w:color="auto" w:fill="CED3F1"/>
            <w:tcMar>
              <w:top w:w="0" w:type="dxa"/>
              <w:left w:w="0" w:type="dxa"/>
              <w:bottom w:w="0" w:type="dxa"/>
              <w:right w:w="0" w:type="dxa"/>
            </w:tcMar>
          </w:tcPr>
          <w:p w:rsidR="00C22AE6" w:rsidRDefault="00C22AE6" w:rsidP="005038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22AE6" w:rsidRDefault="00C22AE6" w:rsidP="005038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22AE6" w:rsidRDefault="00C22AE6" w:rsidP="00503822">
            <w:pPr>
              <w:pStyle w:val="ConsPlusNormal"/>
              <w:jc w:val="right"/>
            </w:pPr>
            <w:r>
              <w:rPr>
                <w:b/>
                <w:color w:val="392C69"/>
              </w:rPr>
              <w:t>Актуально на 08.10.2024</w:t>
            </w:r>
          </w:p>
        </w:tc>
        <w:tc>
          <w:tcPr>
            <w:tcW w:w="113" w:type="dxa"/>
            <w:tcBorders>
              <w:top w:val="nil"/>
              <w:left w:val="nil"/>
              <w:bottom w:val="nil"/>
              <w:right w:val="nil"/>
            </w:tcBorders>
            <w:shd w:val="clear" w:color="auto" w:fill="F4F3F8"/>
            <w:tcMar>
              <w:top w:w="0" w:type="dxa"/>
              <w:left w:w="0" w:type="dxa"/>
              <w:bottom w:w="0" w:type="dxa"/>
              <w:right w:w="0" w:type="dxa"/>
            </w:tcMar>
          </w:tcPr>
          <w:p w:rsidR="00C22AE6" w:rsidRDefault="00C22AE6" w:rsidP="00503822">
            <w:pPr>
              <w:pStyle w:val="ConsPlusNormal"/>
            </w:pPr>
          </w:p>
        </w:tc>
      </w:tr>
    </w:tbl>
    <w:p w:rsidR="00C22AE6" w:rsidRDefault="00C22AE6" w:rsidP="00503822">
      <w:pPr>
        <w:pStyle w:val="ConsPlusNormal"/>
        <w:ind w:firstLine="540"/>
        <w:jc w:val="both"/>
      </w:pPr>
      <w:r>
        <w:rPr>
          <w:b/>
        </w:rPr>
        <w:t>Вопрос:</w:t>
      </w:r>
      <w:r>
        <w:t xml:space="preserve"> Правомерно ли оспаривание сделки по отчуждению доли в уставном капитале по основанию несоответствия цены доли ее действительной (рыночной) стоимости?</w:t>
      </w:r>
    </w:p>
    <w:p w:rsidR="00C22AE6" w:rsidRDefault="00C22AE6" w:rsidP="00503822">
      <w:pPr>
        <w:pStyle w:val="ConsPlusNormal"/>
        <w:ind w:firstLine="540"/>
        <w:jc w:val="both"/>
      </w:pPr>
    </w:p>
    <w:p w:rsidR="00C22AE6" w:rsidRDefault="00C22AE6" w:rsidP="00503822">
      <w:pPr>
        <w:pStyle w:val="ConsPlusNormal"/>
        <w:ind w:firstLine="540"/>
        <w:jc w:val="both"/>
      </w:pPr>
      <w:r>
        <w:rPr>
          <w:b/>
        </w:rPr>
        <w:t>Ответ:</w:t>
      </w:r>
      <w:r>
        <w:t xml:space="preserve"> Оспаривание сделки по отчуждению доли в уставном капитале по основанию несоответствия цены доли ее действительной (рыночной) стоимости неправомерно.</w:t>
      </w:r>
    </w:p>
    <w:p w:rsidR="00C22AE6" w:rsidRDefault="00C22AE6" w:rsidP="00503822">
      <w:pPr>
        <w:pStyle w:val="ConsPlusNormal"/>
        <w:ind w:firstLine="540"/>
        <w:jc w:val="both"/>
      </w:pPr>
      <w:r>
        <w:t xml:space="preserve">Само по себе установление в договоре цены продажи доли в уставном капитале менее ее действительной (рыночной) стоимости не влечет за собой недействительности договора купли-продажи доли в уставном капитале ООО, т.к. стороны вправе согласовать такое условие о цене. </w:t>
      </w:r>
      <w:hyperlink r:id="rId127">
        <w:r>
          <w:rPr>
            <w:color w:val="0000FF"/>
          </w:rPr>
          <w:t>Законом</w:t>
        </w:r>
      </w:hyperlink>
      <w:r>
        <w:t xml:space="preserve"> не выдвигаются требования о допустимой цене продажи долей в уставном капитале ООО.</w:t>
      </w:r>
    </w:p>
    <w:p w:rsidR="00C22AE6" w:rsidRDefault="00C22AE6" w:rsidP="00503822">
      <w:pPr>
        <w:pStyle w:val="ConsPlusNormal"/>
        <w:ind w:firstLine="540"/>
        <w:jc w:val="both"/>
      </w:pPr>
      <w:r>
        <w:t>Между тем, цена продажи может учитываться как дополнительный фактор в пользу недействительности договора при наличии иных признаков недействительности сделки.</w:t>
      </w:r>
    </w:p>
    <w:p w:rsidR="00C22AE6" w:rsidRDefault="00C22AE6" w:rsidP="00503822">
      <w:pPr>
        <w:pStyle w:val="ConsPlusNormal"/>
        <w:ind w:firstLine="540"/>
        <w:jc w:val="both"/>
      </w:pPr>
    </w:p>
    <w:p w:rsidR="00C22AE6" w:rsidRDefault="00C22AE6" w:rsidP="00503822">
      <w:pPr>
        <w:pStyle w:val="ConsPlusNormal"/>
        <w:ind w:firstLine="540"/>
        <w:jc w:val="both"/>
      </w:pPr>
      <w:r>
        <w:rPr>
          <w:b/>
        </w:rPr>
        <w:t>Обоснование:</w:t>
      </w:r>
      <w:r>
        <w:t xml:space="preserve"> Переход доли в уставном капитале общества с ограниченной ответственностью к иному лицу допускается, в </w:t>
      </w:r>
      <w:proofErr w:type="spellStart"/>
      <w:r>
        <w:t>т.ч</w:t>
      </w:r>
      <w:proofErr w:type="spellEnd"/>
      <w:r>
        <w:t>. на основании сделки. Участник общества вправе продать свою долю или часть доли другим участникам общества или третьему лицу (</w:t>
      </w:r>
      <w:hyperlink r:id="rId128">
        <w:r>
          <w:rPr>
            <w:color w:val="0000FF"/>
          </w:rPr>
          <w:t>ст. 21</w:t>
        </w:r>
      </w:hyperlink>
      <w:r>
        <w:t xml:space="preserve"> Федерального закона от 08.02.1998 N 14-ФЗ "Об обществах с ограниченной ответственностью" (далее - Закон об ООО)).</w:t>
      </w:r>
    </w:p>
    <w:p w:rsidR="00C22AE6" w:rsidRDefault="00C22AE6" w:rsidP="00503822">
      <w:pPr>
        <w:pStyle w:val="ConsPlusNormal"/>
        <w:ind w:firstLine="540"/>
        <w:jc w:val="both"/>
      </w:pPr>
      <w:r>
        <w:t>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 (</w:t>
      </w:r>
      <w:hyperlink r:id="rId129">
        <w:r>
          <w:rPr>
            <w:color w:val="0000FF"/>
          </w:rPr>
          <w:t>п. 1 ст. 454</w:t>
        </w:r>
      </w:hyperlink>
      <w:r>
        <w:t xml:space="preserve"> ГК РФ).</w:t>
      </w:r>
    </w:p>
    <w:p w:rsidR="00C22AE6" w:rsidRDefault="00C22AE6" w:rsidP="00503822">
      <w:pPr>
        <w:pStyle w:val="ConsPlusNormal"/>
        <w:ind w:firstLine="540"/>
        <w:jc w:val="both"/>
      </w:pPr>
      <w:r>
        <w:t>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 (</w:t>
      </w:r>
      <w:hyperlink r:id="rId130">
        <w:r>
          <w:rPr>
            <w:color w:val="0000FF"/>
          </w:rPr>
          <w:t>п. 1 ст. 432</w:t>
        </w:r>
      </w:hyperlink>
      <w:r>
        <w:t xml:space="preserve"> ГК РФ). При этом продажа производится по цене, </w:t>
      </w:r>
      <w:r>
        <w:lastRenderedPageBreak/>
        <w:t>предусмотренной договором купли-продажи, или определяется по правилам, установленным законом (</w:t>
      </w:r>
      <w:hyperlink r:id="rId131">
        <w:r>
          <w:rPr>
            <w:color w:val="0000FF"/>
          </w:rPr>
          <w:t>п. 1 ст. 485</w:t>
        </w:r>
      </w:hyperlink>
      <w:r>
        <w:t xml:space="preserve"> ГК РФ).</w:t>
      </w:r>
    </w:p>
    <w:p w:rsidR="00C22AE6" w:rsidRDefault="00C22AE6" w:rsidP="00503822">
      <w:pPr>
        <w:pStyle w:val="ConsPlusNormal"/>
        <w:ind w:firstLine="540"/>
        <w:jc w:val="both"/>
      </w:pPr>
      <w:r>
        <w:t xml:space="preserve">В соответствии с </w:t>
      </w:r>
      <w:hyperlink r:id="rId132">
        <w:r>
          <w:rPr>
            <w:color w:val="0000FF"/>
          </w:rPr>
          <w:t>п. 1 ст. 90</w:t>
        </w:r>
      </w:hyperlink>
      <w:r>
        <w:t xml:space="preserve"> ГК РФ уставный капитал общества с ограниченной ответственностью (</w:t>
      </w:r>
      <w:hyperlink r:id="rId133">
        <w:r>
          <w:rPr>
            <w:color w:val="0000FF"/>
          </w:rPr>
          <w:t>ст. 66.2</w:t>
        </w:r>
      </w:hyperlink>
      <w:r>
        <w:t xml:space="preserve"> ГК РФ) составляется из номинальной стоимости долей участников.</w:t>
      </w:r>
    </w:p>
    <w:p w:rsidR="00C22AE6" w:rsidRDefault="00C22AE6" w:rsidP="00503822">
      <w:pPr>
        <w:pStyle w:val="ConsPlusNormal"/>
        <w:ind w:firstLine="540"/>
        <w:jc w:val="both"/>
      </w:pPr>
      <w:r>
        <w:t>Уставный капитал общества с ограниченной ответственностью определяет минимальный размер имущества общества, гарантирующего интересы его кредиторов (</w:t>
      </w:r>
      <w:hyperlink r:id="rId134">
        <w:r>
          <w:rPr>
            <w:color w:val="0000FF"/>
          </w:rPr>
          <w:t>Постановление</w:t>
        </w:r>
      </w:hyperlink>
      <w:r>
        <w:t xml:space="preserve"> Арбитражного суда Поволжского округа от 20.10.2021 N Ф06-1124/2021 по делу N А65-5945/2020, </w:t>
      </w:r>
      <w:hyperlink r:id="rId135">
        <w:r>
          <w:rPr>
            <w:color w:val="0000FF"/>
          </w:rPr>
          <w:t>Постановление</w:t>
        </w:r>
      </w:hyperlink>
      <w:r>
        <w:t xml:space="preserve"> Арбитражного суда Восточно-Сибирского округа от 17.06.2020 N Ф02-1196/2020 по делу N А78-8044/2019, </w:t>
      </w:r>
      <w:hyperlink r:id="rId136">
        <w:r>
          <w:rPr>
            <w:color w:val="0000FF"/>
          </w:rPr>
          <w:t>Постановление</w:t>
        </w:r>
      </w:hyperlink>
      <w:r>
        <w:t xml:space="preserve"> Арбитражного суда Западно-Сибирского округа от 26.01.2017 N Ф04-6305/2016 по делу N А45-3085/2016 (</w:t>
      </w:r>
      <w:hyperlink r:id="rId137">
        <w:r>
          <w:rPr>
            <w:color w:val="0000FF"/>
          </w:rPr>
          <w:t>Определением</w:t>
        </w:r>
      </w:hyperlink>
      <w:r>
        <w:t xml:space="preserve"> Верховного Суда РФ от 26.04.2017 N 304-ЭС17-4144 отказано в передаче дела N А45-3085/2016 в Судебную коллегию по экономическим спорам Верховного Суда РФ для пересмотра в порядке кассационного производства данного </w:t>
      </w:r>
      <w:hyperlink r:id="rId138">
        <w:r>
          <w:rPr>
            <w:color w:val="0000FF"/>
          </w:rPr>
          <w:t>Постановления</w:t>
        </w:r>
      </w:hyperlink>
      <w:r>
        <w:t>)).</w:t>
      </w:r>
    </w:p>
    <w:p w:rsidR="00C22AE6" w:rsidRDefault="00C22AE6" w:rsidP="00503822">
      <w:pPr>
        <w:pStyle w:val="ConsPlusNormal"/>
        <w:ind w:firstLine="540"/>
        <w:jc w:val="both"/>
      </w:pPr>
      <w:r>
        <w:t xml:space="preserve">По общему правилу ни в </w:t>
      </w:r>
      <w:hyperlink r:id="rId139">
        <w:r>
          <w:rPr>
            <w:color w:val="0000FF"/>
          </w:rPr>
          <w:t>ГК</w:t>
        </w:r>
      </w:hyperlink>
      <w:r>
        <w:t xml:space="preserve"> РФ, ни в </w:t>
      </w:r>
      <w:hyperlink r:id="rId140">
        <w:r>
          <w:rPr>
            <w:color w:val="0000FF"/>
          </w:rPr>
          <w:t>Законе</w:t>
        </w:r>
      </w:hyperlink>
      <w:r>
        <w:t xml:space="preserve"> об ООО не устанавливается запрет на определение цены продажи ниже действительной (рыночной) стоимости доли. Следовательно, исходя из принципа свободы договора (</w:t>
      </w:r>
      <w:hyperlink r:id="rId141">
        <w:r>
          <w:rPr>
            <w:color w:val="0000FF"/>
          </w:rPr>
          <w:t>ст. 421</w:t>
        </w:r>
      </w:hyperlink>
      <w:r>
        <w:t xml:space="preserve"> ГК РФ) стороны договора вправе установить цену продажи доли в любом размере - как выше, так и ниже действительной (рыночной) стоимости или номинальной цены. </w:t>
      </w:r>
      <w:hyperlink r:id="rId142">
        <w:r>
          <w:rPr>
            <w:color w:val="0000FF"/>
          </w:rPr>
          <w:t>Закон</w:t>
        </w:r>
      </w:hyperlink>
      <w:r>
        <w:t xml:space="preserve"> об ООО не содержит норм, регламентирующих определение цены доли в уставном капитале общества при ее отчуждении по сделкам купли-продажи. Данная позиция распространена и в судебной практике (</w:t>
      </w:r>
      <w:hyperlink r:id="rId143">
        <w:r>
          <w:rPr>
            <w:color w:val="0000FF"/>
          </w:rPr>
          <w:t>Постановление</w:t>
        </w:r>
      </w:hyperlink>
      <w:r>
        <w:t xml:space="preserve"> Арбитражного суда Московского округа от 05.12.2022 N Ф05-30386/2022 по делу N А40-283659/2021, </w:t>
      </w:r>
      <w:hyperlink r:id="rId144">
        <w:r>
          <w:rPr>
            <w:color w:val="0000FF"/>
          </w:rPr>
          <w:t>Постановление</w:t>
        </w:r>
      </w:hyperlink>
      <w:r>
        <w:t xml:space="preserve"> Арбитражного суда Центрального округа от 11.03.2021 N Ф10-6058/2020 по делу N А23-8725/2019). Стороны сделки об отчуждении доли третьему лицу по цене, не соответствующей уставу ООО, не могут быть принуждены к установлению определенной цены сделки (</w:t>
      </w:r>
      <w:hyperlink r:id="rId145">
        <w:r>
          <w:rPr>
            <w:color w:val="0000FF"/>
          </w:rPr>
          <w:t>Постановление</w:t>
        </w:r>
      </w:hyperlink>
      <w:r>
        <w:t xml:space="preserve"> Тринадцатого арбитражного апелляционного суда от 30.06.2016 N 13АП-9829/2016 по делу N А56-84856/2015).</w:t>
      </w:r>
    </w:p>
    <w:p w:rsidR="00C22AE6" w:rsidRDefault="00C22AE6" w:rsidP="00503822">
      <w:pPr>
        <w:pStyle w:val="ConsPlusNormal"/>
        <w:ind w:firstLine="540"/>
        <w:jc w:val="both"/>
      </w:pPr>
      <w:r>
        <w:t>Суды исходят из того, что само по себе определение цены продажи ниже действительной (рыночной) стоимости (в частности, "по номиналу") не влечет за собой недействительности договора (</w:t>
      </w:r>
      <w:hyperlink r:id="rId146">
        <w:r>
          <w:rPr>
            <w:color w:val="0000FF"/>
          </w:rPr>
          <w:t>Постановление</w:t>
        </w:r>
      </w:hyperlink>
      <w:r>
        <w:t xml:space="preserve"> Арбитражного суда Западно-Сибирского округа от 16.04.2018 N Ф04-796/2018 по делу N А27-7282/2017 (</w:t>
      </w:r>
      <w:hyperlink r:id="rId147">
        <w:r>
          <w:rPr>
            <w:color w:val="0000FF"/>
          </w:rPr>
          <w:t>Определением</w:t>
        </w:r>
      </w:hyperlink>
      <w:r>
        <w:t xml:space="preserve"> Верховного Суда РФ от 16.07.2018 N 304-ЭС18-11475 отказано в передаче дела N А27-7282/2017 в Судебную коллегию по экономическим спорам Верховного Суда РФ для пересмотра в порядке кассационного производства данного </w:t>
      </w:r>
      <w:hyperlink r:id="rId148">
        <w:r>
          <w:rPr>
            <w:color w:val="0000FF"/>
          </w:rPr>
          <w:t>Постановления</w:t>
        </w:r>
      </w:hyperlink>
      <w:r>
        <w:t>)). Сама по себе возможная убыточность сделки для одного из ее участников, не является основанием для изменения цены сделки. Занижение стоимости имущества при его продаже, даже если это и имело место, само по себе не является основанием для признания сделки недействительной (</w:t>
      </w:r>
      <w:hyperlink r:id="rId149">
        <w:r>
          <w:rPr>
            <w:color w:val="0000FF"/>
          </w:rPr>
          <w:t>Постановление</w:t>
        </w:r>
      </w:hyperlink>
      <w:r>
        <w:t xml:space="preserve"> Пятнадцатого арбитражного апелляционного суда от 04.10.2016 N 15АП-14320/2016 по делу N А32-8209/2016, </w:t>
      </w:r>
      <w:hyperlink r:id="rId150">
        <w:r>
          <w:rPr>
            <w:color w:val="0000FF"/>
          </w:rPr>
          <w:t>Постановление</w:t>
        </w:r>
      </w:hyperlink>
      <w:r>
        <w:t xml:space="preserve"> Одиннадцатого арбитражного апелляционного суда от 30.11.2018 N 11АП-16281/2018 по делу N А65-19019/2018 (</w:t>
      </w:r>
      <w:hyperlink r:id="rId151">
        <w:r>
          <w:rPr>
            <w:color w:val="0000FF"/>
          </w:rPr>
          <w:t>Постановлением</w:t>
        </w:r>
      </w:hyperlink>
      <w:r>
        <w:t xml:space="preserve"> Арбитражного суда Поволжского округа от 21.03.2019 N Ф06-44102/2019 данное </w:t>
      </w:r>
      <w:hyperlink r:id="rId152">
        <w:r>
          <w:rPr>
            <w:color w:val="0000FF"/>
          </w:rPr>
          <w:t>Постановление</w:t>
        </w:r>
      </w:hyperlink>
      <w:r>
        <w:t xml:space="preserve"> оставлено без изменения)).</w:t>
      </w:r>
    </w:p>
    <w:p w:rsidR="00C22AE6" w:rsidRDefault="00C22AE6" w:rsidP="00503822">
      <w:pPr>
        <w:pStyle w:val="ConsPlusNormal"/>
        <w:ind w:firstLine="540"/>
        <w:jc w:val="both"/>
      </w:pPr>
      <w:r>
        <w:t>Определение цены в договоре купли-продажи доли в уставном капитале общества с ограниченной ответственностью производится соглашением сторон, поэтому цена в договоре купли-продажи не обязательно должна соответствовать действительной стоимости отчуждаемой доли в уставном капитале, цена доли может быть как выше, так и ниже действительной стоимости, поскольку на определение сторонами цены влияет множество обстоятельств: взаимоотношения сторон как личные, так и деловые, финансовое состояние каждой из сторон и другие обстоятельства (</w:t>
      </w:r>
      <w:hyperlink r:id="rId153">
        <w:r>
          <w:rPr>
            <w:color w:val="0000FF"/>
          </w:rPr>
          <w:t>Постановление</w:t>
        </w:r>
      </w:hyperlink>
      <w:r>
        <w:t xml:space="preserve"> Арбитражного суда Центрального округа от 20.12.2019 N Ф10-5812/2019 по делу N А09-1363/2019 (</w:t>
      </w:r>
      <w:hyperlink r:id="rId154">
        <w:r>
          <w:rPr>
            <w:color w:val="0000FF"/>
          </w:rPr>
          <w:t>Определением</w:t>
        </w:r>
      </w:hyperlink>
      <w:r>
        <w:t xml:space="preserve"> Верховного Суда РФ от 07.04.2020 N 310-ЭС20-3844 отказано в передаче дела N А09-1363/2019 в Судебную коллегию по экономическим спорам Верховного Суда РФ для пересмотра в порядке кассационного производства данного </w:t>
      </w:r>
      <w:hyperlink r:id="rId155">
        <w:r>
          <w:rPr>
            <w:color w:val="0000FF"/>
          </w:rPr>
          <w:t>Постановления</w:t>
        </w:r>
      </w:hyperlink>
      <w:r>
        <w:t>)).</w:t>
      </w:r>
    </w:p>
    <w:p w:rsidR="00C22AE6" w:rsidRDefault="00C22AE6" w:rsidP="00503822">
      <w:pPr>
        <w:pStyle w:val="ConsPlusNormal"/>
        <w:ind w:firstLine="540"/>
        <w:jc w:val="both"/>
      </w:pPr>
      <w:r>
        <w:t>Между тем с учетом иных обстоятельств заключения сделки суд может учесть цену продажи ниже действительной (рыночной) как дополнительное основание в пользу недействительности сделки, когда имеются признаки злоупотребления правом, нарушения баланса интереса сторон, прав и законных интересов кредиторов или сделка совершена в период наличия признаков несостоятельности общества и т.п. (</w:t>
      </w:r>
      <w:hyperlink r:id="rId156">
        <w:r>
          <w:rPr>
            <w:color w:val="0000FF"/>
          </w:rPr>
          <w:t>Постановление</w:t>
        </w:r>
      </w:hyperlink>
      <w:r>
        <w:t xml:space="preserve"> Арбитражного суда Московского округа от 01.09.2020 N Ф05-16944/2018 по делу N А40-143537/2017 (</w:t>
      </w:r>
      <w:hyperlink r:id="rId157">
        <w:r>
          <w:rPr>
            <w:color w:val="0000FF"/>
          </w:rPr>
          <w:t>Определением</w:t>
        </w:r>
      </w:hyperlink>
      <w:r>
        <w:t xml:space="preserve"> Верховного Суда РФ от 09.11.2020 N 305-ЭС20-16815 отказано в передаче дела N А40-143537/2017 в Судебную коллегию по экономическим спорам Верховного Суда РФ для пересмотра в порядке кассационного производства данного </w:t>
      </w:r>
      <w:hyperlink r:id="rId158">
        <w:r>
          <w:rPr>
            <w:color w:val="0000FF"/>
          </w:rPr>
          <w:t>Постановления</w:t>
        </w:r>
      </w:hyperlink>
      <w:r>
        <w:t xml:space="preserve">), </w:t>
      </w:r>
      <w:hyperlink r:id="rId159">
        <w:r>
          <w:rPr>
            <w:color w:val="0000FF"/>
          </w:rPr>
          <w:t>Постановление</w:t>
        </w:r>
      </w:hyperlink>
      <w:r>
        <w:t xml:space="preserve"> Семнадцатого арбитражного апелляционного суда от 25.12.2020 N 17АП-18967/2019(3,4,5)-АК по делу N А50-2635/2019 (</w:t>
      </w:r>
      <w:hyperlink r:id="rId160">
        <w:r>
          <w:rPr>
            <w:color w:val="0000FF"/>
          </w:rPr>
          <w:t>Постановлением</w:t>
        </w:r>
      </w:hyperlink>
      <w:r>
        <w:t xml:space="preserve"> Арбитражного суда Уральского округа от 05.05.2021 N Ф09-5150/20 данное </w:t>
      </w:r>
      <w:hyperlink r:id="rId161">
        <w:r>
          <w:rPr>
            <w:color w:val="0000FF"/>
          </w:rPr>
          <w:t>Постановление</w:t>
        </w:r>
      </w:hyperlink>
      <w:r>
        <w:t xml:space="preserve"> оставлено без изменения), </w:t>
      </w:r>
      <w:hyperlink r:id="rId162">
        <w:r>
          <w:rPr>
            <w:color w:val="0000FF"/>
          </w:rPr>
          <w:t>Постановление</w:t>
        </w:r>
      </w:hyperlink>
      <w:r>
        <w:t xml:space="preserve"> Арбитражного суда Уральского округа от 16.01.2019 N Ф09-8727/18 по делу N А76-19891/2017, </w:t>
      </w:r>
      <w:hyperlink r:id="rId163">
        <w:r>
          <w:rPr>
            <w:color w:val="0000FF"/>
          </w:rPr>
          <w:t>Постановление</w:t>
        </w:r>
      </w:hyperlink>
      <w:r>
        <w:t xml:space="preserve"> Арбитражного суда Центрального округа от 27.02.2018 N Ф10-5890/2017 по делу N А14-10953/2016).</w:t>
      </w:r>
    </w:p>
    <w:p w:rsidR="00C22AE6" w:rsidRDefault="00C22AE6" w:rsidP="00503822">
      <w:pPr>
        <w:pStyle w:val="ConsPlusNormal"/>
        <w:ind w:firstLine="540"/>
        <w:jc w:val="both"/>
      </w:pPr>
      <w:r>
        <w:t xml:space="preserve">Признавая недействительным договор купли-продажи доли в уставном капитале ООО, суд наряду с другими обстоятельствами (например, совершение сделки представителем в ущерб интересам представляемого) может указать, что доказательства обоснованности и экономической целесообразности отчуждения спорных долей по цене многократно ниже рыночной не представлены (например, </w:t>
      </w:r>
      <w:hyperlink r:id="rId164">
        <w:r>
          <w:rPr>
            <w:color w:val="0000FF"/>
          </w:rPr>
          <w:t>Постановление</w:t>
        </w:r>
      </w:hyperlink>
      <w:r>
        <w:t xml:space="preserve"> Арбитражного суда Дальневосточного округа от 17.06.2020 N Ф03-1992/2020 по делу N А59-4081/2018 (</w:t>
      </w:r>
      <w:hyperlink r:id="rId165">
        <w:r>
          <w:rPr>
            <w:color w:val="0000FF"/>
          </w:rPr>
          <w:t>Определением</w:t>
        </w:r>
      </w:hyperlink>
      <w:r>
        <w:t xml:space="preserve"> Верховного Суда РФ от 14.10.2020 N 303-ЭС19-652 отказано в передаче дела N А59-4081/2018 в Судебную коллегию по экономическим спорам Верховного Суда РФ для </w:t>
      </w:r>
      <w:r>
        <w:lastRenderedPageBreak/>
        <w:t xml:space="preserve">пересмотра в порядке кассационного производства данного </w:t>
      </w:r>
      <w:hyperlink r:id="rId166">
        <w:r>
          <w:rPr>
            <w:color w:val="0000FF"/>
          </w:rPr>
          <w:t>Постановления</w:t>
        </w:r>
      </w:hyperlink>
      <w:r>
        <w:t>)).</w:t>
      </w:r>
    </w:p>
    <w:p w:rsidR="00C22AE6" w:rsidRDefault="00C22AE6" w:rsidP="00503822">
      <w:pPr>
        <w:pStyle w:val="ConsPlusNormal"/>
        <w:ind w:firstLine="540"/>
        <w:jc w:val="both"/>
      </w:pPr>
      <w:r>
        <w:t xml:space="preserve">Таким образом, само по себе установление в договоре цены продажи доли в уставном капитале менее ее действительной (рыночной) стоимости (в том числе по номинальной стоимости) не влечет за собой недействительности договора купли-продажи доли в уставном капитале ООО, т.к. стороны вправе согласовать такое условие о цене. </w:t>
      </w:r>
      <w:hyperlink r:id="rId167">
        <w:r>
          <w:rPr>
            <w:color w:val="0000FF"/>
          </w:rPr>
          <w:t>Законом</w:t>
        </w:r>
      </w:hyperlink>
      <w:r>
        <w:t xml:space="preserve"> не выдвигаются требования о допустимой цене продажи долей в уставном капитале ООО.</w:t>
      </w:r>
    </w:p>
    <w:p w:rsidR="00C22AE6" w:rsidRDefault="00C22AE6" w:rsidP="00503822">
      <w:pPr>
        <w:pStyle w:val="ConsPlusNormal"/>
        <w:ind w:firstLine="540"/>
        <w:jc w:val="both"/>
      </w:pPr>
      <w:r>
        <w:t>Между тем, цена продажи может учитываться как дополнительный фактор в пользу недействительности договора при наличии иных признаков недействительности сделки.</w:t>
      </w:r>
    </w:p>
    <w:p w:rsidR="00C22AE6" w:rsidRDefault="00C22AE6" w:rsidP="00503822">
      <w:pPr>
        <w:pStyle w:val="ConsPlusNormal"/>
        <w:ind w:firstLine="540"/>
        <w:jc w:val="both"/>
      </w:pPr>
    </w:p>
    <w:p w:rsidR="00C22AE6" w:rsidRDefault="00C22AE6" w:rsidP="00503822">
      <w:pPr>
        <w:pStyle w:val="ConsPlusNormal"/>
        <w:jc w:val="right"/>
      </w:pPr>
      <w:r>
        <w:t>Подготовлено на основе материала</w:t>
      </w:r>
    </w:p>
    <w:p w:rsidR="00C22AE6" w:rsidRDefault="00C22AE6" w:rsidP="00503822">
      <w:pPr>
        <w:pStyle w:val="ConsPlusNormal"/>
        <w:jc w:val="right"/>
      </w:pPr>
      <w:r>
        <w:t xml:space="preserve">С.А. </w:t>
      </w:r>
      <w:proofErr w:type="spellStart"/>
      <w:r>
        <w:t>Слесарева</w:t>
      </w:r>
      <w:proofErr w:type="spellEnd"/>
      <w:r>
        <w:t>,</w:t>
      </w:r>
    </w:p>
    <w:p w:rsidR="00C22AE6" w:rsidRDefault="00C22AE6" w:rsidP="00503822">
      <w:pPr>
        <w:pStyle w:val="ConsPlusNormal"/>
        <w:jc w:val="right"/>
      </w:pPr>
      <w:r>
        <w:t>частнопрактикующего юриста,</w:t>
      </w:r>
    </w:p>
    <w:p w:rsidR="00C22AE6" w:rsidRDefault="00C22AE6" w:rsidP="00503822">
      <w:pPr>
        <w:pStyle w:val="ConsPlusNormal"/>
        <w:jc w:val="right"/>
      </w:pPr>
      <w:r>
        <w:t>эксперта центра содействия законотворчеству</w:t>
      </w:r>
    </w:p>
    <w:p w:rsidR="00C22AE6" w:rsidRDefault="00C22AE6" w:rsidP="00503822">
      <w:pPr>
        <w:pStyle w:val="ConsPlusNormal"/>
        <w:jc w:val="right"/>
      </w:pPr>
      <w:r>
        <w:t>"Общественная Дума", г. Мценск</w:t>
      </w:r>
    </w:p>
    <w:p w:rsidR="00C22AE6" w:rsidRPr="00C22AE6" w:rsidRDefault="00C22AE6" w:rsidP="00503822">
      <w:pPr>
        <w:pBdr>
          <w:top w:val="single" w:sz="12" w:space="1" w:color="auto"/>
          <w:bottom w:val="single" w:sz="12" w:space="1" w:color="auto"/>
        </w:pBdr>
        <w:spacing w:after="0"/>
        <w:rPr>
          <w:sz w:val="2"/>
          <w:szCs w:val="2"/>
        </w:rPr>
      </w:pPr>
    </w:p>
    <w:p w:rsidR="00C22AE6" w:rsidRDefault="00C22AE6" w:rsidP="00503822">
      <w:pPr>
        <w:spacing w:after="0"/>
      </w:pPr>
    </w:p>
    <w:sectPr w:rsidR="00C22AE6" w:rsidSect="00C22AE6">
      <w:pgSz w:w="11906" w:h="16838" w:code="9"/>
      <w:pgMar w:top="284" w:right="282" w:bottom="567" w:left="28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FE4"/>
    <w:multiLevelType w:val="multilevel"/>
    <w:tmpl w:val="0CD223C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02200A"/>
    <w:multiLevelType w:val="multilevel"/>
    <w:tmpl w:val="8A20656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AE6"/>
    <w:rsid w:val="001911A1"/>
    <w:rsid w:val="001D2FE2"/>
    <w:rsid w:val="00325329"/>
    <w:rsid w:val="00503822"/>
    <w:rsid w:val="008122B1"/>
    <w:rsid w:val="009D2AFB"/>
    <w:rsid w:val="00BA51D1"/>
    <w:rsid w:val="00C22AE6"/>
    <w:rsid w:val="00DF1E79"/>
    <w:rsid w:val="00E6230A"/>
    <w:rsid w:val="00FD1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82114"/>
  <w15:chartTrackingRefBased/>
  <w15:docId w15:val="{E3A50608-6C19-4912-AE9A-6C450629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2AE6"/>
    <w:pPr>
      <w:widowControl w:val="0"/>
      <w:autoSpaceDE w:val="0"/>
      <w:autoSpaceDN w:val="0"/>
      <w:spacing w:after="0" w:line="240" w:lineRule="auto"/>
    </w:pPr>
    <w:rPr>
      <w:rFonts w:ascii="Calibri" w:eastAsiaTheme="minorEastAsia" w:hAnsi="Calibri" w:cs="Calibri"/>
      <w:lang w:eastAsia="ru-RU"/>
    </w:rPr>
  </w:style>
  <w:style w:type="character" w:styleId="a3">
    <w:name w:val="Hyperlink"/>
    <w:unhideWhenUsed/>
    <w:rsid w:val="00C22A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QUEST&amp;n=215310" TargetMode="External"/><Relationship Id="rId21" Type="http://schemas.openxmlformats.org/officeDocument/2006/relationships/hyperlink" Target="https://login.consultant.ru/link/?req=doc&amp;base=LAW&amp;n=483145&amp;dst=73" TargetMode="External"/><Relationship Id="rId42" Type="http://schemas.openxmlformats.org/officeDocument/2006/relationships/hyperlink" Target="https://login.consultant.ru/link/?req=doc&amp;base=AZS&amp;n=138575" TargetMode="External"/><Relationship Id="rId63" Type="http://schemas.openxmlformats.org/officeDocument/2006/relationships/hyperlink" Target="https://login.consultant.ru/link/?req=doc&amp;base=LAW&amp;n=489355&amp;dst=16972" TargetMode="External"/><Relationship Id="rId84" Type="http://schemas.openxmlformats.org/officeDocument/2006/relationships/hyperlink" Target="https://login.consultant.ru/link/?req=doc&amp;base=PBI&amp;n=199933" TargetMode="External"/><Relationship Id="rId138" Type="http://schemas.openxmlformats.org/officeDocument/2006/relationships/hyperlink" Target="https://login.consultant.ru/link/?req=doc&amp;base=AZS&amp;n=138575" TargetMode="External"/><Relationship Id="rId159" Type="http://schemas.openxmlformats.org/officeDocument/2006/relationships/hyperlink" Target="https://login.consultant.ru/link/?req=doc&amp;base=RAPS017&amp;n=252490" TargetMode="External"/><Relationship Id="rId107" Type="http://schemas.openxmlformats.org/officeDocument/2006/relationships/hyperlink" Target="https://login.consultant.ru/link/?req=doc&amp;base=LAW&amp;n=446183&amp;dst=101238" TargetMode="External"/><Relationship Id="rId11" Type="http://schemas.openxmlformats.org/officeDocument/2006/relationships/hyperlink" Target="https://login.consultant.ru/link/?req=doc&amp;base=QUEST&amp;n=213788" TargetMode="External"/><Relationship Id="rId32" Type="http://schemas.openxmlformats.org/officeDocument/2006/relationships/hyperlink" Target="https://login.consultant.ru/link/?req=doc&amp;base=PSVKP&amp;n=185&amp;dst=1000000001" TargetMode="External"/><Relationship Id="rId53" Type="http://schemas.openxmlformats.org/officeDocument/2006/relationships/hyperlink" Target="https://login.consultant.ru/link/?req=doc&amp;base=ARB&amp;n=546300" TargetMode="External"/><Relationship Id="rId74" Type="http://schemas.openxmlformats.org/officeDocument/2006/relationships/hyperlink" Target="https://login.consultant.ru/link/?req=doc&amp;base=LAW&amp;n=489355&amp;dst=20027" TargetMode="External"/><Relationship Id="rId128" Type="http://schemas.openxmlformats.org/officeDocument/2006/relationships/hyperlink" Target="https://login.consultant.ru/link/?req=doc&amp;base=LAW&amp;n=483145&amp;dst=68" TargetMode="External"/><Relationship Id="rId149" Type="http://schemas.openxmlformats.org/officeDocument/2006/relationships/hyperlink" Target="https://login.consultant.ru/link/?req=doc&amp;base=RAPS015&amp;n=119718" TargetMode="External"/><Relationship Id="rId5" Type="http://schemas.openxmlformats.org/officeDocument/2006/relationships/hyperlink" Target="http://consultantugra.ru/klientam/goryachaya-liniya/reglament-linii-konsultacij/" TargetMode="External"/><Relationship Id="rId95" Type="http://schemas.openxmlformats.org/officeDocument/2006/relationships/hyperlink" Target="https://login.consultant.ru/link/?req=doc&amp;base=LAW&amp;n=358825&amp;dst=101989" TargetMode="External"/><Relationship Id="rId160" Type="http://schemas.openxmlformats.org/officeDocument/2006/relationships/hyperlink" Target="https://login.consultant.ru/link/?req=doc&amp;base=AUR&amp;n=225663" TargetMode="External"/><Relationship Id="rId22" Type="http://schemas.openxmlformats.org/officeDocument/2006/relationships/image" Target="media/image1.png"/><Relationship Id="rId43" Type="http://schemas.openxmlformats.org/officeDocument/2006/relationships/hyperlink" Target="https://login.consultant.ru/link/?req=doc&amp;base=ARB&amp;n=498785" TargetMode="External"/><Relationship Id="rId64" Type="http://schemas.openxmlformats.org/officeDocument/2006/relationships/hyperlink" Target="https://login.consultant.ru/link/?req=doc&amp;base=QUEST&amp;n=202608&amp;dst=100013" TargetMode="External"/><Relationship Id="rId118" Type="http://schemas.openxmlformats.org/officeDocument/2006/relationships/hyperlink" Target="https://login.consultant.ru/link/?req=doc&amp;base=QUEST&amp;n=214288" TargetMode="External"/><Relationship Id="rId139" Type="http://schemas.openxmlformats.org/officeDocument/2006/relationships/hyperlink" Target="https://login.consultant.ru/link/?req=doc&amp;base=LAW&amp;n=482692" TargetMode="External"/><Relationship Id="rId85" Type="http://schemas.openxmlformats.org/officeDocument/2006/relationships/hyperlink" Target="https://login.consultant.ru/link/?req=doc&amp;base=PBI&amp;n=263305" TargetMode="External"/><Relationship Id="rId150" Type="http://schemas.openxmlformats.org/officeDocument/2006/relationships/hyperlink" Target="https://login.consultant.ru/link/?req=doc&amp;base=RAPS011&amp;n=144805" TargetMode="External"/><Relationship Id="rId12" Type="http://schemas.openxmlformats.org/officeDocument/2006/relationships/hyperlink" Target="https://login.consultant.ru/link/?req=doc&amp;base=QUEST&amp;n=213782" TargetMode="External"/><Relationship Id="rId33" Type="http://schemas.openxmlformats.org/officeDocument/2006/relationships/hyperlink" Target="https://login.consultant.ru/link/?req=doc&amp;base=LAW&amp;n=483145" TargetMode="External"/><Relationship Id="rId108" Type="http://schemas.openxmlformats.org/officeDocument/2006/relationships/hyperlink" Target="https://login.consultant.ru/link/?req=doc&amp;base=LAW&amp;n=446183&amp;dst=9824" TargetMode="External"/><Relationship Id="rId129" Type="http://schemas.openxmlformats.org/officeDocument/2006/relationships/hyperlink" Target="https://login.consultant.ru/link/?req=doc&amp;base=LAW&amp;n=449455&amp;dst=100011" TargetMode="External"/><Relationship Id="rId54" Type="http://schemas.openxmlformats.org/officeDocument/2006/relationships/hyperlink" Target="https://login.consultant.ru/link/?req=doc&amp;base=AZS&amp;n=147638" TargetMode="External"/><Relationship Id="rId70" Type="http://schemas.openxmlformats.org/officeDocument/2006/relationships/hyperlink" Target="https://login.consultant.ru/link/?req=doc&amp;base=PBI&amp;n=199961&amp;dst=1000000001" TargetMode="External"/><Relationship Id="rId75" Type="http://schemas.openxmlformats.org/officeDocument/2006/relationships/hyperlink" Target="https://login.consultant.ru/link/?req=doc&amp;base=LAW&amp;n=489355&amp;dst=19874" TargetMode="External"/><Relationship Id="rId91" Type="http://schemas.openxmlformats.org/officeDocument/2006/relationships/hyperlink" Target="https://login.consultant.ru/link/?req=doc&amp;base=LAW&amp;n=370274&amp;dst=100282" TargetMode="External"/><Relationship Id="rId96" Type="http://schemas.openxmlformats.org/officeDocument/2006/relationships/hyperlink" Target="https://login.consultant.ru/link/?req=doc&amp;base=ASZ&amp;n=259769&amp;dst=100022" TargetMode="External"/><Relationship Id="rId140" Type="http://schemas.openxmlformats.org/officeDocument/2006/relationships/hyperlink" Target="https://login.consultant.ru/link/?req=doc&amp;base=LAW&amp;n=483145" TargetMode="External"/><Relationship Id="rId145" Type="http://schemas.openxmlformats.org/officeDocument/2006/relationships/hyperlink" Target="https://login.consultant.ru/link/?req=doc&amp;base=RAPS013&amp;n=196358" TargetMode="External"/><Relationship Id="rId161" Type="http://schemas.openxmlformats.org/officeDocument/2006/relationships/hyperlink" Target="https://login.consultant.ru/link/?req=doc&amp;base=RAPS017&amp;n=252490" TargetMode="External"/><Relationship Id="rId166" Type="http://schemas.openxmlformats.org/officeDocument/2006/relationships/hyperlink" Target="https://login.consultant.ru/link/?req=doc&amp;base=ADV&amp;n=114579" TargetMode="External"/><Relationship Id="rId1" Type="http://schemas.openxmlformats.org/officeDocument/2006/relationships/numbering" Target="numbering.xml"/><Relationship Id="rId6" Type="http://schemas.openxmlformats.org/officeDocument/2006/relationships/hyperlink" Target="https://login.consultant.ru/link/?req=doc&amp;base=LAW&amp;n=446183&amp;dst=9824" TargetMode="External"/><Relationship Id="rId23" Type="http://schemas.openxmlformats.org/officeDocument/2006/relationships/hyperlink" Target="https://login.consultant.ru/link/?req=doc&amp;base=ACN&amp;n=130541&amp;dst=100062" TargetMode="External"/><Relationship Id="rId28" Type="http://schemas.openxmlformats.org/officeDocument/2006/relationships/hyperlink" Target="https://login.consultant.ru/link/?req=doc&amp;base=LAW&amp;n=358825&amp;dst=101989" TargetMode="External"/><Relationship Id="rId49" Type="http://schemas.openxmlformats.org/officeDocument/2006/relationships/hyperlink" Target="https://login.consultant.ru/link/?req=doc&amp;base=AMS&amp;n=454960" TargetMode="External"/><Relationship Id="rId114" Type="http://schemas.openxmlformats.org/officeDocument/2006/relationships/hyperlink" Target="https://login.consultant.ru/link/?req=doc&amp;base=LAW&amp;n=446183&amp;dst=9824" TargetMode="External"/><Relationship Id="rId119" Type="http://schemas.openxmlformats.org/officeDocument/2006/relationships/hyperlink" Target="https://login.consultant.ru/link/?req=doc&amp;base=QUEST&amp;n=213788" TargetMode="External"/><Relationship Id="rId44" Type="http://schemas.openxmlformats.org/officeDocument/2006/relationships/hyperlink" Target="https://login.consultant.ru/link/?req=doc&amp;base=AZS&amp;n=138575" TargetMode="External"/><Relationship Id="rId60" Type="http://schemas.openxmlformats.org/officeDocument/2006/relationships/hyperlink" Target="https://login.consultant.ru/link/?req=doc&amp;base=ARB&amp;n=624740" TargetMode="External"/><Relationship Id="rId65" Type="http://schemas.openxmlformats.org/officeDocument/2006/relationships/hyperlink" Target="https://login.consultant.ru/link/?req=doc&amp;base=QUEST&amp;n=162374&amp;dst=100008" TargetMode="External"/><Relationship Id="rId81" Type="http://schemas.openxmlformats.org/officeDocument/2006/relationships/hyperlink" Target="https://login.consultant.ru/link/?req=doc&amp;base=QUEST&amp;n=195200&amp;dst=100010" TargetMode="External"/><Relationship Id="rId86" Type="http://schemas.openxmlformats.org/officeDocument/2006/relationships/hyperlink" Target="https://login.consultant.ru/link/?req=doc&amp;base=PSVKP&amp;n=185&amp;dst=1000000001" TargetMode="External"/><Relationship Id="rId130" Type="http://schemas.openxmlformats.org/officeDocument/2006/relationships/hyperlink" Target="https://login.consultant.ru/link/?req=doc&amp;base=LAW&amp;n=482692&amp;dst=102049" TargetMode="External"/><Relationship Id="rId135" Type="http://schemas.openxmlformats.org/officeDocument/2006/relationships/hyperlink" Target="https://login.consultant.ru/link/?req=doc&amp;base=AVS&amp;n=109084" TargetMode="External"/><Relationship Id="rId151" Type="http://schemas.openxmlformats.org/officeDocument/2006/relationships/hyperlink" Target="https://login.consultant.ru/link/?req=doc&amp;base=APV&amp;n=174243" TargetMode="External"/><Relationship Id="rId156" Type="http://schemas.openxmlformats.org/officeDocument/2006/relationships/hyperlink" Target="https://login.consultant.ru/link/?req=doc&amp;base=AMS&amp;n=359803" TargetMode="External"/><Relationship Id="rId13" Type="http://schemas.openxmlformats.org/officeDocument/2006/relationships/hyperlink" Target="https://login.consultant.ru/link/?req=doc&amp;base=QUEST&amp;n=213221" TargetMode="External"/><Relationship Id="rId18" Type="http://schemas.openxmlformats.org/officeDocument/2006/relationships/hyperlink" Target="https://login.consultant.ru/link/?req=doc&amp;base=PBI&amp;n=315411&amp;dst=100061,1" TargetMode="External"/><Relationship Id="rId39" Type="http://schemas.openxmlformats.org/officeDocument/2006/relationships/hyperlink" Target="https://login.consultant.ru/link/?req=doc&amp;base=LAW&amp;n=482692&amp;dst=1399" TargetMode="External"/><Relationship Id="rId109" Type="http://schemas.openxmlformats.org/officeDocument/2006/relationships/hyperlink" Target="https://login.consultant.ru/link/?req=doc&amp;base=LAW&amp;n=446183&amp;dst=9825" TargetMode="External"/><Relationship Id="rId34" Type="http://schemas.openxmlformats.org/officeDocument/2006/relationships/hyperlink" Target="https://login.consultant.ru/link/?req=doc&amp;base=LAW&amp;n=483145&amp;dst=68" TargetMode="External"/><Relationship Id="rId50" Type="http://schemas.openxmlformats.org/officeDocument/2006/relationships/hyperlink" Target="https://login.consultant.ru/link/?req=doc&amp;base=ACN&amp;n=130541" TargetMode="External"/><Relationship Id="rId55" Type="http://schemas.openxmlformats.org/officeDocument/2006/relationships/hyperlink" Target="https://login.consultant.ru/link/?req=doc&amp;base=RAPS015&amp;n=119718" TargetMode="External"/><Relationship Id="rId76" Type="http://schemas.openxmlformats.org/officeDocument/2006/relationships/hyperlink" Target="https://login.consultant.ru/link/?req=doc&amp;base=LAW&amp;n=489355&amp;dst=16972" TargetMode="External"/><Relationship Id="rId97" Type="http://schemas.openxmlformats.org/officeDocument/2006/relationships/hyperlink" Target="https://login.consultant.ru/link/?req=doc&amp;base=ACN&amp;n=122578&amp;dst=100041" TargetMode="External"/><Relationship Id="rId104" Type="http://schemas.openxmlformats.org/officeDocument/2006/relationships/hyperlink" Target="https://login.consultant.ru/link/?req=doc&amp;base=LAW&amp;n=446183&amp;dst=101069" TargetMode="External"/><Relationship Id="rId120" Type="http://schemas.openxmlformats.org/officeDocument/2006/relationships/hyperlink" Target="https://login.consultant.ru/link/?req=doc&amp;base=QUEST&amp;n=213782" TargetMode="External"/><Relationship Id="rId125" Type="http://schemas.openxmlformats.org/officeDocument/2006/relationships/hyperlink" Target="https://login.consultant.ru/link/?req=doc&amp;base=QUEST&amp;n=210779" TargetMode="External"/><Relationship Id="rId141" Type="http://schemas.openxmlformats.org/officeDocument/2006/relationships/hyperlink" Target="https://login.consultant.ru/link/?req=doc&amp;base=LAW&amp;n=482692&amp;dst=101989" TargetMode="External"/><Relationship Id="rId146" Type="http://schemas.openxmlformats.org/officeDocument/2006/relationships/hyperlink" Target="https://login.consultant.ru/link/?req=doc&amp;base=AZS&amp;n=147638" TargetMode="External"/><Relationship Id="rId167" Type="http://schemas.openxmlformats.org/officeDocument/2006/relationships/hyperlink" Target="https://login.consultant.ru/link/?req=doc&amp;base=LAW&amp;n=483145" TargetMode="External"/><Relationship Id="rId7" Type="http://schemas.openxmlformats.org/officeDocument/2006/relationships/hyperlink" Target="https://login.consultant.ru/link/?req=doc&amp;base=LAW&amp;n=446183&amp;dst=20028" TargetMode="External"/><Relationship Id="rId71" Type="http://schemas.openxmlformats.org/officeDocument/2006/relationships/hyperlink" Target="https://login.consultant.ru/link/?req=doc&amp;base=PBI&amp;n=84151" TargetMode="External"/><Relationship Id="rId92" Type="http://schemas.openxmlformats.org/officeDocument/2006/relationships/hyperlink" Target="https://login.consultant.ru/link/?req=doc&amp;base=LAW&amp;n=370274&amp;dst=100374" TargetMode="External"/><Relationship Id="rId162" Type="http://schemas.openxmlformats.org/officeDocument/2006/relationships/hyperlink" Target="https://login.consultant.ru/link/?req=doc&amp;base=AUR&amp;n=198622" TargetMode="External"/><Relationship Id="rId2" Type="http://schemas.openxmlformats.org/officeDocument/2006/relationships/styles" Target="styles.xml"/><Relationship Id="rId29" Type="http://schemas.openxmlformats.org/officeDocument/2006/relationships/image" Target="media/image2.png"/><Relationship Id="rId24" Type="http://schemas.openxmlformats.org/officeDocument/2006/relationships/hyperlink" Target="https://login.consultant.ru/link/?req=doc&amp;base=LAW&amp;n=370274&amp;dst=100282" TargetMode="External"/><Relationship Id="rId40" Type="http://schemas.openxmlformats.org/officeDocument/2006/relationships/hyperlink" Target="https://login.consultant.ru/link/?req=doc&amp;base=APV&amp;n=202906" TargetMode="External"/><Relationship Id="rId45" Type="http://schemas.openxmlformats.org/officeDocument/2006/relationships/hyperlink" Target="https://login.consultant.ru/link/?req=doc&amp;base=LAW&amp;n=482692" TargetMode="External"/><Relationship Id="rId66" Type="http://schemas.openxmlformats.org/officeDocument/2006/relationships/hyperlink" Target="https://login.consultant.ru/link/?req=doc&amp;base=LAW&amp;n=107972&amp;dst=102160" TargetMode="External"/><Relationship Id="rId87" Type="http://schemas.openxmlformats.org/officeDocument/2006/relationships/hyperlink" Target="https://login.consultant.ru/link/?req=doc&amp;base=LAW&amp;n=449455&amp;dst=100011" TargetMode="External"/><Relationship Id="rId110" Type="http://schemas.openxmlformats.org/officeDocument/2006/relationships/hyperlink" Target="https://login.consultant.ru/link/?req=doc&amp;base=LAW&amp;n=446183&amp;dst=20028" TargetMode="External"/><Relationship Id="rId115" Type="http://schemas.openxmlformats.org/officeDocument/2006/relationships/hyperlink" Target="https://login.consultant.ru/link/?req=doc&amp;base=LAW&amp;n=446183&amp;dst=20028" TargetMode="External"/><Relationship Id="rId131" Type="http://schemas.openxmlformats.org/officeDocument/2006/relationships/hyperlink" Target="https://login.consultant.ru/link/?req=doc&amp;base=LAW&amp;n=449455&amp;dst=100154" TargetMode="External"/><Relationship Id="rId136" Type="http://schemas.openxmlformats.org/officeDocument/2006/relationships/hyperlink" Target="https://login.consultant.ru/link/?req=doc&amp;base=AZS&amp;n=138575" TargetMode="External"/><Relationship Id="rId157" Type="http://schemas.openxmlformats.org/officeDocument/2006/relationships/hyperlink" Target="https://login.consultant.ru/link/?req=doc&amp;base=ARB&amp;n=645863" TargetMode="External"/><Relationship Id="rId61" Type="http://schemas.openxmlformats.org/officeDocument/2006/relationships/hyperlink" Target="https://login.consultant.ru/link/?req=doc&amp;base=ACN&amp;n=122578" TargetMode="External"/><Relationship Id="rId82" Type="http://schemas.openxmlformats.org/officeDocument/2006/relationships/image" Target="media/image4.png"/><Relationship Id="rId152" Type="http://schemas.openxmlformats.org/officeDocument/2006/relationships/hyperlink" Target="https://login.consultant.ru/link/?req=doc&amp;base=RAPS011&amp;n=144805" TargetMode="External"/><Relationship Id="rId19" Type="http://schemas.openxmlformats.org/officeDocument/2006/relationships/hyperlink" Target="https://login.consultant.ru/link/?req=doc&amp;base=LAW&amp;n=449455&amp;dst=100011" TargetMode="External"/><Relationship Id="rId14" Type="http://schemas.openxmlformats.org/officeDocument/2006/relationships/hyperlink" Target="https://login.consultant.ru/link/?req=doc&amp;base=LAW&amp;n=446183&amp;dst=9824" TargetMode="External"/><Relationship Id="rId30" Type="http://schemas.openxmlformats.org/officeDocument/2006/relationships/hyperlink" Target="https://login.consultant.ru/link/?req=doc&amp;base=ASZ&amp;n=259769&amp;dst=100022" TargetMode="External"/><Relationship Id="rId35" Type="http://schemas.openxmlformats.org/officeDocument/2006/relationships/hyperlink" Target="https://login.consultant.ru/link/?req=doc&amp;base=LAW&amp;n=449455&amp;dst=100011" TargetMode="External"/><Relationship Id="rId56" Type="http://schemas.openxmlformats.org/officeDocument/2006/relationships/hyperlink" Target="https://login.consultant.ru/link/?req=doc&amp;base=RAPS011&amp;n=144805" TargetMode="External"/><Relationship Id="rId77" Type="http://schemas.openxmlformats.org/officeDocument/2006/relationships/hyperlink" Target="https://login.consultant.ru/link/?req=doc&amp;base=QUEST&amp;n=202608&amp;dst=100013" TargetMode="External"/><Relationship Id="rId100" Type="http://schemas.openxmlformats.org/officeDocument/2006/relationships/hyperlink" Target="https://login.consultant.ru/link/?req=doc&amp;base=LAW&amp;n=320453&amp;dst=102004" TargetMode="External"/><Relationship Id="rId105" Type="http://schemas.openxmlformats.org/officeDocument/2006/relationships/hyperlink" Target="https://login.consultant.ru/link/?req=doc&amp;base=LAW&amp;n=446183&amp;dst=101117" TargetMode="External"/><Relationship Id="rId126" Type="http://schemas.openxmlformats.org/officeDocument/2006/relationships/hyperlink" Target="https://login.consultant.ru/link/?req=doc&amp;base=CJI&amp;n=109051&amp;dst=1000000001" TargetMode="External"/><Relationship Id="rId147" Type="http://schemas.openxmlformats.org/officeDocument/2006/relationships/hyperlink" Target="https://login.consultant.ru/link/?req=doc&amp;base=ARB&amp;n=546300" TargetMode="External"/><Relationship Id="rId168" Type="http://schemas.openxmlformats.org/officeDocument/2006/relationships/fontTable" Target="fontTable.xml"/><Relationship Id="rId8" Type="http://schemas.openxmlformats.org/officeDocument/2006/relationships/hyperlink" Target="https://login.consultant.ru/link/?req=doc&amp;base=QUEST&amp;n=215676" TargetMode="External"/><Relationship Id="rId51" Type="http://schemas.openxmlformats.org/officeDocument/2006/relationships/hyperlink" Target="https://login.consultant.ru/link/?req=doc&amp;base=RAPS013&amp;n=196358" TargetMode="External"/><Relationship Id="rId72" Type="http://schemas.openxmlformats.org/officeDocument/2006/relationships/hyperlink" Target="https://login.consultant.ru/link/?req=doc&amp;base=PBI&amp;n=84479&amp;dst=100002" TargetMode="External"/><Relationship Id="rId93" Type="http://schemas.openxmlformats.org/officeDocument/2006/relationships/hyperlink" Target="https://login.consultant.ru/link/?req=doc&amp;base=LAW&amp;n=358825" TargetMode="External"/><Relationship Id="rId98" Type="http://schemas.openxmlformats.org/officeDocument/2006/relationships/hyperlink" Target="https://login.consultant.ru/link/?req=doc&amp;base=APV&amp;n=188398&amp;dst=100038" TargetMode="External"/><Relationship Id="rId121" Type="http://schemas.openxmlformats.org/officeDocument/2006/relationships/hyperlink" Target="https://login.consultant.ru/link/?req=doc&amp;base=QUEST&amp;n=213221" TargetMode="External"/><Relationship Id="rId142" Type="http://schemas.openxmlformats.org/officeDocument/2006/relationships/hyperlink" Target="https://login.consultant.ru/link/?req=doc&amp;base=LAW&amp;n=483145" TargetMode="External"/><Relationship Id="rId163" Type="http://schemas.openxmlformats.org/officeDocument/2006/relationships/hyperlink" Target="https://login.consultant.ru/link/?req=doc&amp;base=ACN&amp;n=108969" TargetMode="External"/><Relationship Id="rId3" Type="http://schemas.openxmlformats.org/officeDocument/2006/relationships/settings" Target="settings.xml"/><Relationship Id="rId25" Type="http://schemas.openxmlformats.org/officeDocument/2006/relationships/hyperlink" Target="https://login.consultant.ru/link/?req=doc&amp;base=LAW&amp;n=370274&amp;dst=100374" TargetMode="External"/><Relationship Id="rId46" Type="http://schemas.openxmlformats.org/officeDocument/2006/relationships/hyperlink" Target="https://login.consultant.ru/link/?req=doc&amp;base=LAW&amp;n=483145" TargetMode="External"/><Relationship Id="rId67" Type="http://schemas.openxmlformats.org/officeDocument/2006/relationships/hyperlink" Target="https://login.consultant.ru/link/?req=doc&amp;base=PBI&amp;n=199961&amp;dst=1000000001" TargetMode="External"/><Relationship Id="rId116" Type="http://schemas.openxmlformats.org/officeDocument/2006/relationships/hyperlink" Target="https://login.consultant.ru/link/?req=doc&amp;base=QUEST&amp;n=215676" TargetMode="External"/><Relationship Id="rId137" Type="http://schemas.openxmlformats.org/officeDocument/2006/relationships/hyperlink" Target="https://login.consultant.ru/link/?req=doc&amp;base=ARB&amp;n=498785" TargetMode="External"/><Relationship Id="rId158" Type="http://schemas.openxmlformats.org/officeDocument/2006/relationships/hyperlink" Target="https://login.consultant.ru/link/?req=doc&amp;base=AMS&amp;n=359803" TargetMode="External"/><Relationship Id="rId20" Type="http://schemas.openxmlformats.org/officeDocument/2006/relationships/hyperlink" Target="https://login.consultant.ru/link/?req=doc&amp;base=LAW&amp;n=449455&amp;dst=100153" TargetMode="External"/><Relationship Id="rId41" Type="http://schemas.openxmlformats.org/officeDocument/2006/relationships/hyperlink" Target="https://login.consultant.ru/link/?req=doc&amp;base=AVS&amp;n=109084" TargetMode="External"/><Relationship Id="rId62" Type="http://schemas.openxmlformats.org/officeDocument/2006/relationships/hyperlink" Target="https://login.consultant.ru/link/?req=doc&amp;base=CJI&amp;n=109051&amp;dst=1000000001" TargetMode="External"/><Relationship Id="rId83" Type="http://schemas.openxmlformats.org/officeDocument/2006/relationships/hyperlink" Target="https://login.consultant.ru/link/?req=doc&amp;base=PBI&amp;n=273923" TargetMode="External"/><Relationship Id="rId88" Type="http://schemas.openxmlformats.org/officeDocument/2006/relationships/hyperlink" Target="https://login.consultant.ru/link/?req=doc&amp;base=LAW&amp;n=449455&amp;dst=100153" TargetMode="External"/><Relationship Id="rId111" Type="http://schemas.openxmlformats.org/officeDocument/2006/relationships/hyperlink" Target="https://login.consultant.ru/link/?req=doc&amp;base=LAW&amp;n=446183&amp;dst=23530" TargetMode="External"/><Relationship Id="rId132" Type="http://schemas.openxmlformats.org/officeDocument/2006/relationships/hyperlink" Target="https://login.consultant.ru/link/?req=doc&amp;base=LAW&amp;n=482692&amp;dst=1485" TargetMode="External"/><Relationship Id="rId153" Type="http://schemas.openxmlformats.org/officeDocument/2006/relationships/hyperlink" Target="https://login.consultant.ru/link/?req=doc&amp;base=ACN&amp;n=122578" TargetMode="External"/><Relationship Id="rId15" Type="http://schemas.openxmlformats.org/officeDocument/2006/relationships/hyperlink" Target="https://login.consultant.ru/link/?req=doc&amp;base=LAW&amp;n=446183&amp;dst=9824" TargetMode="External"/><Relationship Id="rId36" Type="http://schemas.openxmlformats.org/officeDocument/2006/relationships/hyperlink" Target="https://login.consultant.ru/link/?req=doc&amp;base=LAW&amp;n=482692&amp;dst=102049" TargetMode="External"/><Relationship Id="rId57" Type="http://schemas.openxmlformats.org/officeDocument/2006/relationships/hyperlink" Target="https://login.consultant.ru/link/?req=doc&amp;base=APV&amp;n=174243" TargetMode="External"/><Relationship Id="rId106" Type="http://schemas.openxmlformats.org/officeDocument/2006/relationships/hyperlink" Target="https://login.consultant.ru/link/?req=doc&amp;base=LAW&amp;n=446183&amp;dst=101131" TargetMode="External"/><Relationship Id="rId127" Type="http://schemas.openxmlformats.org/officeDocument/2006/relationships/hyperlink" Target="https://login.consultant.ru/link/?req=doc&amp;base=LAW&amp;n=483145" TargetMode="External"/><Relationship Id="rId10" Type="http://schemas.openxmlformats.org/officeDocument/2006/relationships/hyperlink" Target="https://login.consultant.ru/link/?req=doc&amp;base=QUEST&amp;n=214288" TargetMode="External"/><Relationship Id="rId31" Type="http://schemas.openxmlformats.org/officeDocument/2006/relationships/hyperlink" Target="https://login.consultant.ru/link/?req=doc&amp;base=ACN&amp;n=122578&amp;dst=100041" TargetMode="External"/><Relationship Id="rId52" Type="http://schemas.openxmlformats.org/officeDocument/2006/relationships/hyperlink" Target="https://login.consultant.ru/link/?req=doc&amp;base=AZS&amp;n=147638" TargetMode="External"/><Relationship Id="rId73" Type="http://schemas.openxmlformats.org/officeDocument/2006/relationships/hyperlink" Target="https://login.consultant.ru/link/?req=doc&amp;base=LAW&amp;n=489355&amp;dst=12546" TargetMode="External"/><Relationship Id="rId78" Type="http://schemas.openxmlformats.org/officeDocument/2006/relationships/hyperlink" Target="https://login.consultant.ru/link/?req=doc&amp;base=QUEST&amp;n=162374&amp;dst=100008" TargetMode="External"/><Relationship Id="rId94" Type="http://schemas.openxmlformats.org/officeDocument/2006/relationships/hyperlink" Target="https://login.consultant.ru/link/?req=doc&amp;base=LAW&amp;n=358861" TargetMode="External"/><Relationship Id="rId99" Type="http://schemas.openxmlformats.org/officeDocument/2006/relationships/hyperlink" Target="https://login.consultant.ru/link/?req=doc&amp;base=LAW&amp;n=320453&amp;dst=101989" TargetMode="External"/><Relationship Id="rId101" Type="http://schemas.openxmlformats.org/officeDocument/2006/relationships/hyperlink" Target="https://login.consultant.ru/link/?req=doc&amp;base=LAW&amp;n=336769&amp;dst=68" TargetMode="External"/><Relationship Id="rId122" Type="http://schemas.openxmlformats.org/officeDocument/2006/relationships/hyperlink" Target="https://login.consultant.ru/link/?req=doc&amp;base=LAW&amp;n=446183&amp;dst=9824" TargetMode="External"/><Relationship Id="rId143" Type="http://schemas.openxmlformats.org/officeDocument/2006/relationships/hyperlink" Target="https://login.consultant.ru/link/?req=doc&amp;base=AMS&amp;n=454960" TargetMode="External"/><Relationship Id="rId148" Type="http://schemas.openxmlformats.org/officeDocument/2006/relationships/hyperlink" Target="https://login.consultant.ru/link/?req=doc&amp;base=AZS&amp;n=147638" TargetMode="External"/><Relationship Id="rId164" Type="http://schemas.openxmlformats.org/officeDocument/2006/relationships/hyperlink" Target="https://login.consultant.ru/link/?req=doc&amp;base=ADV&amp;n=114579"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QUEST&amp;n=215310" TargetMode="External"/><Relationship Id="rId26" Type="http://schemas.openxmlformats.org/officeDocument/2006/relationships/hyperlink" Target="https://login.consultant.ru/link/?req=doc&amp;base=LAW&amp;n=358825" TargetMode="External"/><Relationship Id="rId47" Type="http://schemas.openxmlformats.org/officeDocument/2006/relationships/hyperlink" Target="https://login.consultant.ru/link/?req=doc&amp;base=LAW&amp;n=482692&amp;dst=101989" TargetMode="External"/><Relationship Id="rId68" Type="http://schemas.openxmlformats.org/officeDocument/2006/relationships/hyperlink" Target="https://login.consultant.ru/link/?req=doc&amp;base=LAW&amp;n=489355&amp;dst=9824" TargetMode="External"/><Relationship Id="rId89" Type="http://schemas.openxmlformats.org/officeDocument/2006/relationships/hyperlink" Target="https://login.consultant.ru/link/?req=doc&amp;base=LAW&amp;n=483145&amp;dst=73" TargetMode="External"/><Relationship Id="rId112" Type="http://schemas.openxmlformats.org/officeDocument/2006/relationships/hyperlink" Target="https://login.consultant.ru/link/?req=doc&amp;base=LAW&amp;n=446183&amp;dst=6456" TargetMode="External"/><Relationship Id="rId133" Type="http://schemas.openxmlformats.org/officeDocument/2006/relationships/hyperlink" Target="https://login.consultant.ru/link/?req=doc&amp;base=LAW&amp;n=482692&amp;dst=1399" TargetMode="External"/><Relationship Id="rId154" Type="http://schemas.openxmlformats.org/officeDocument/2006/relationships/hyperlink" Target="https://login.consultant.ru/link/?req=doc&amp;base=ARB&amp;n=624740" TargetMode="External"/><Relationship Id="rId16" Type="http://schemas.openxmlformats.org/officeDocument/2006/relationships/hyperlink" Target="https://login.consultant.ru/link/?req=doc&amp;base=LAW&amp;n=446183&amp;dst=101069" TargetMode="External"/><Relationship Id="rId37" Type="http://schemas.openxmlformats.org/officeDocument/2006/relationships/hyperlink" Target="https://login.consultant.ru/link/?req=doc&amp;base=LAW&amp;n=449455&amp;dst=100154" TargetMode="External"/><Relationship Id="rId58" Type="http://schemas.openxmlformats.org/officeDocument/2006/relationships/hyperlink" Target="https://login.consultant.ru/link/?req=doc&amp;base=RAPS011&amp;n=144805" TargetMode="External"/><Relationship Id="rId79" Type="http://schemas.openxmlformats.org/officeDocument/2006/relationships/hyperlink" Target="https://login.consultant.ru/link/?req=doc&amp;base=LAW&amp;n=107972&amp;dst=102160" TargetMode="External"/><Relationship Id="rId102" Type="http://schemas.openxmlformats.org/officeDocument/2006/relationships/hyperlink" Target="https://login.consultant.ru/link/?req=doc&amp;base=ACN&amp;n=111736&amp;dst=100042" TargetMode="External"/><Relationship Id="rId123" Type="http://schemas.openxmlformats.org/officeDocument/2006/relationships/hyperlink" Target="https://login.consultant.ru/link/?req=doc&amp;base=LAW&amp;n=446183&amp;dst=9824" TargetMode="External"/><Relationship Id="rId144" Type="http://schemas.openxmlformats.org/officeDocument/2006/relationships/hyperlink" Target="https://login.consultant.ru/link/?req=doc&amp;base=ACN&amp;n=130541" TargetMode="External"/><Relationship Id="rId90" Type="http://schemas.openxmlformats.org/officeDocument/2006/relationships/hyperlink" Target="https://login.consultant.ru/link/?req=doc&amp;base=ACN&amp;n=130541&amp;dst=100062" TargetMode="External"/><Relationship Id="rId165" Type="http://schemas.openxmlformats.org/officeDocument/2006/relationships/hyperlink" Target="https://login.consultant.ru/link/?req=doc&amp;base=ARB&amp;n=642682" TargetMode="External"/><Relationship Id="rId27" Type="http://schemas.openxmlformats.org/officeDocument/2006/relationships/hyperlink" Target="https://login.consultant.ru/link/?req=doc&amp;base=LAW&amp;n=358861" TargetMode="External"/><Relationship Id="rId48" Type="http://schemas.openxmlformats.org/officeDocument/2006/relationships/hyperlink" Target="https://login.consultant.ru/link/?req=doc&amp;base=LAW&amp;n=483145" TargetMode="External"/><Relationship Id="rId69" Type="http://schemas.openxmlformats.org/officeDocument/2006/relationships/image" Target="media/image3.png"/><Relationship Id="rId113" Type="http://schemas.openxmlformats.org/officeDocument/2006/relationships/hyperlink" Target="https://login.consultant.ru/link/?req=doc&amp;base=LAW&amp;n=446183&amp;dst=23530" TargetMode="External"/><Relationship Id="rId134" Type="http://schemas.openxmlformats.org/officeDocument/2006/relationships/hyperlink" Target="https://login.consultant.ru/link/?req=doc&amp;base=APV&amp;n=202906" TargetMode="External"/><Relationship Id="rId80" Type="http://schemas.openxmlformats.org/officeDocument/2006/relationships/hyperlink" Target="https://login.consultant.ru/link/?req=doc&amp;base=PBI&amp;n=273923&amp;dst=100024" TargetMode="External"/><Relationship Id="rId155" Type="http://schemas.openxmlformats.org/officeDocument/2006/relationships/hyperlink" Target="https://login.consultant.ru/link/?req=doc&amp;base=ACN&amp;n=122578" TargetMode="External"/><Relationship Id="rId17" Type="http://schemas.openxmlformats.org/officeDocument/2006/relationships/hyperlink" Target="https://login.consultant.ru/link/?req=doc&amp;base=QUEST&amp;n=210779" TargetMode="External"/><Relationship Id="rId38" Type="http://schemas.openxmlformats.org/officeDocument/2006/relationships/hyperlink" Target="https://login.consultant.ru/link/?req=doc&amp;base=LAW&amp;n=482692&amp;dst=1485" TargetMode="External"/><Relationship Id="rId59" Type="http://schemas.openxmlformats.org/officeDocument/2006/relationships/hyperlink" Target="https://login.consultant.ru/link/?req=doc&amp;base=ACN&amp;n=122578" TargetMode="External"/><Relationship Id="rId103" Type="http://schemas.openxmlformats.org/officeDocument/2006/relationships/hyperlink" Target="https://login.consultant.ru/link/?req=doc&amp;base=PBI&amp;n=315411&amp;dst=100061,1" TargetMode="External"/><Relationship Id="rId124" Type="http://schemas.openxmlformats.org/officeDocument/2006/relationships/hyperlink" Target="https://login.consultant.ru/link/?req=doc&amp;base=LAW&amp;n=446183&amp;dst=1010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9</Pages>
  <Words>7041</Words>
  <Characters>40139</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Мартыненко</cp:lastModifiedBy>
  <cp:revision>8</cp:revision>
  <dcterms:created xsi:type="dcterms:W3CDTF">2024-11-13T08:03:00Z</dcterms:created>
  <dcterms:modified xsi:type="dcterms:W3CDTF">2024-11-13T11:43:00Z</dcterms:modified>
</cp:coreProperties>
</file>