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99E95" w14:textId="77777777" w:rsidR="00C43B89" w:rsidRDefault="00C43B89" w:rsidP="001A20EF">
      <w:pPr>
        <w:pStyle w:val="ConsPlusNormal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Материал предоставлен ООО «КонсультантПлюс Югра».</w:t>
      </w:r>
    </w:p>
    <w:p w14:paraId="4B05BC5B" w14:textId="77777777" w:rsidR="00C43B89" w:rsidRDefault="00C43B89" w:rsidP="001A20EF">
      <w:pPr>
        <w:pStyle w:val="ConsPlusNormal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Услуга оказывается в соответствии с регламентом Линии консультаций: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i/>
          <w:iCs/>
          <w:color w:val="00B0F0"/>
          <w:u w:val="single"/>
        </w:rPr>
        <w:t>https://consultantugra.ru/goryachaya-liniya/reglament-linii-konsultacij/</w:t>
      </w:r>
      <w:r>
        <w:rPr>
          <w:rFonts w:asciiTheme="minorHAnsi" w:hAnsiTheme="minorHAnsi"/>
        </w:rPr>
        <w:br/>
      </w:r>
    </w:p>
    <w:p w14:paraId="3617BD36" w14:textId="77777777" w:rsidR="00C43B89" w:rsidRDefault="00C43B89" w:rsidP="001A20EF">
      <w:pPr>
        <w:pStyle w:val="ConsPlusNormal"/>
        <w:jc w:val="both"/>
        <w:outlineLvl w:val="0"/>
        <w:rPr>
          <w:rFonts w:asciiTheme="minorHAnsi" w:hAnsiTheme="minorHAnsi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43B89" w14:paraId="0C849085" w14:textId="77777777" w:rsidTr="00C43B8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47C28567" w14:textId="28F978EC" w:rsidR="00C43B89" w:rsidRDefault="00C43B89" w:rsidP="001A20EF">
            <w:pPr>
              <w:pStyle w:val="ConsPlusNormal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392C69"/>
              </w:rPr>
              <w:t xml:space="preserve">Актуально на </w:t>
            </w:r>
            <w:r>
              <w:rPr>
                <w:rFonts w:asciiTheme="minorHAnsi" w:hAnsiTheme="minorHAnsi"/>
                <w:color w:val="392C69"/>
              </w:rPr>
              <w:t>23.07.2024</w:t>
            </w:r>
          </w:p>
        </w:tc>
      </w:tr>
    </w:tbl>
    <w:p w14:paraId="54A8F876" w14:textId="77777777" w:rsidR="00C43B89" w:rsidRDefault="00C43B89" w:rsidP="001A20EF">
      <w:pPr>
        <w:pStyle w:val="ConsPlusNormal"/>
        <w:rPr>
          <w:rFonts w:asciiTheme="minorHAnsi" w:eastAsia="Times New Roman" w:hAnsiTheme="minorHAnsi"/>
          <w:lang w:val="en-US"/>
        </w:rPr>
      </w:pPr>
      <w:r>
        <w:rPr>
          <w:rFonts w:asciiTheme="minorHAnsi" w:hAnsiTheme="minorHAnsi"/>
          <w:b/>
          <w:sz w:val="38"/>
        </w:rPr>
        <w:t>По вопросу</w:t>
      </w:r>
      <w:r>
        <w:rPr>
          <w:rFonts w:asciiTheme="minorHAnsi" w:hAnsiTheme="minorHAnsi"/>
          <w:b/>
          <w:sz w:val="38"/>
          <w:lang w:val="en-US"/>
        </w:rPr>
        <w:t>:</w:t>
      </w:r>
    </w:p>
    <w:p w14:paraId="608C5A0A" w14:textId="0D3246D2" w:rsidR="00C43B89" w:rsidRDefault="001A20EF" w:rsidP="001A20EF">
      <w:pPr>
        <w:pStyle w:val="ConsPlusNormal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Е</w:t>
      </w:r>
      <w:r w:rsidR="00C43B89" w:rsidRPr="00C43B89">
        <w:rPr>
          <w:rFonts w:asciiTheme="minorHAnsi" w:hAnsiTheme="minorHAnsi"/>
        </w:rPr>
        <w:t xml:space="preserve">сли должник напишет в суд заявление </w:t>
      </w:r>
      <w:proofErr w:type="gramStart"/>
      <w:r w:rsidR="00C43B89" w:rsidRPr="00C43B89">
        <w:rPr>
          <w:rFonts w:asciiTheme="minorHAnsi" w:hAnsiTheme="minorHAnsi"/>
        </w:rPr>
        <w:t>от отказе</w:t>
      </w:r>
      <w:proofErr w:type="gramEnd"/>
      <w:r w:rsidR="00C43B89" w:rsidRPr="00C43B89">
        <w:rPr>
          <w:rFonts w:asciiTheme="minorHAnsi" w:hAnsiTheme="minorHAnsi"/>
        </w:rPr>
        <w:t xml:space="preserve"> от правопреемства и передачи долга новому кредитору, его ответственность остается у старого кредитора? Может новый кредитор без разрешения должника взыскать долг по кредиту? Договор уступки прав от кредитора к новому кредитору подписан. сейчас новый кредитор направил в суд заявление об установлении проц.</w:t>
      </w:r>
      <w:r>
        <w:rPr>
          <w:rFonts w:asciiTheme="minorHAnsi" w:hAnsiTheme="minorHAnsi"/>
        </w:rPr>
        <w:t xml:space="preserve"> правопреемства.</w:t>
      </w:r>
    </w:p>
    <w:p w14:paraId="3CED1488" w14:textId="4B99A644" w:rsidR="00C43B89" w:rsidRPr="00C43B89" w:rsidRDefault="00C43B89" w:rsidP="001A20EF">
      <w:pPr>
        <w:pStyle w:val="ConsPlusNormal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sz w:val="38"/>
        </w:rPr>
        <w:t>Сообщаем</w:t>
      </w:r>
      <w:r w:rsidRPr="00C43B89">
        <w:rPr>
          <w:rFonts w:asciiTheme="minorHAnsi" w:hAnsiTheme="minorHAnsi"/>
          <w:b/>
          <w:sz w:val="38"/>
        </w:rPr>
        <w:t>:</w:t>
      </w:r>
    </w:p>
    <w:tbl>
      <w:tblPr>
        <w:tblW w:w="10206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206"/>
      </w:tblGrid>
      <w:tr w:rsidR="00C43B89" w14:paraId="2C5B0203" w14:textId="77777777" w:rsidTr="00C43B89">
        <w:tc>
          <w:tcPr>
            <w:tcW w:w="10206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52B9ECA6" w14:textId="77777777" w:rsidR="001A20EF" w:rsidRDefault="001A20EF" w:rsidP="001A20EF">
            <w:pPr>
              <w:pStyle w:val="ConsPlusNormal"/>
              <w:outlineLvl w:val="0"/>
            </w:pPr>
            <w:r>
              <w:rPr>
                <w:b/>
                <w:sz w:val="32"/>
              </w:rPr>
              <w:t>1. Что такое договор цессии</w:t>
            </w:r>
          </w:p>
          <w:p w14:paraId="41B88701" w14:textId="77777777" w:rsidR="001A20EF" w:rsidRDefault="001A20EF" w:rsidP="001A20EF">
            <w:pPr>
              <w:pStyle w:val="ConsPlusNormal"/>
              <w:jc w:val="both"/>
            </w:pPr>
            <w:r>
              <w:t>Договор цессии (уступки требования) - это соглашение о передаче требования первоначальным кредитором (цедентом) новому кредитору (цессионарию) (</w:t>
            </w:r>
            <w:hyperlink r:id="rId5">
              <w:r>
                <w:rPr>
                  <w:color w:val="0000FF"/>
                </w:rPr>
                <w:t>п. 1 ст. 382</w:t>
              </w:r>
            </w:hyperlink>
            <w:r>
              <w:t xml:space="preserve">, </w:t>
            </w:r>
            <w:hyperlink r:id="rId6">
              <w:r>
                <w:rPr>
                  <w:color w:val="0000FF"/>
                </w:rPr>
                <w:t>п. 1 ст. 388</w:t>
              </w:r>
            </w:hyperlink>
            <w:r>
              <w:t xml:space="preserve"> ГК РФ).</w:t>
            </w:r>
          </w:p>
          <w:p w14:paraId="5F1FFE03" w14:textId="20C9F97D" w:rsidR="001A20EF" w:rsidRDefault="001A20EF" w:rsidP="001A20EF">
            <w:pPr>
              <w:pStyle w:val="ConsPlusNormal"/>
              <w:jc w:val="both"/>
            </w:pPr>
            <w:r>
              <w:t>Это может быть договор, предусмотренный или не предусмотренный законом или иными правовыми актами, либо смешанный договор (</w:t>
            </w:r>
            <w:hyperlink r:id="rId7">
              <w:r>
                <w:rPr>
                  <w:color w:val="0000FF"/>
                </w:rPr>
                <w:t>п. 1</w:t>
              </w:r>
            </w:hyperlink>
            <w:r>
              <w:t xml:space="preserve"> Постановления Пленума Верховного Суда РФ от 21.12.2017 N 54). Чаще всего требования уступают путем продажи имущественного права, то есть новый кредитор платит первоначальному кредитору за передачу права (</w:t>
            </w:r>
            <w:hyperlink r:id="rId8">
              <w:r>
                <w:rPr>
                  <w:color w:val="0000FF"/>
                </w:rPr>
                <w:t>п. 4 ст. 454</w:t>
              </w:r>
            </w:hyperlink>
            <w:r>
              <w:t xml:space="preserve"> ГК РФ).</w:t>
            </w:r>
          </w:p>
          <w:p w14:paraId="098D5D1C" w14:textId="5EB67F39" w:rsidR="001A20EF" w:rsidRDefault="001A20EF" w:rsidP="001A20EF">
            <w:pPr>
              <w:pStyle w:val="ConsPlusNormal"/>
            </w:pPr>
            <w:r>
              <w:t xml:space="preserve">(Источник: </w:t>
            </w:r>
            <w:hyperlink r:id="rId9">
              <w:r>
                <w:rPr>
                  <w:i/>
                  <w:color w:val="0000FF"/>
                </w:rPr>
                <w:t>Путеводитель. Что нужно знать об уступке требования (цессии) (КонсультантПлюс, 2024) {КонсультантПлюс}</w:t>
              </w:r>
            </w:hyperlink>
            <w:r>
              <w:rPr>
                <w:iCs/>
              </w:rPr>
              <w:t>).</w:t>
            </w:r>
          </w:p>
          <w:p w14:paraId="0F39B77E" w14:textId="77777777" w:rsidR="001A20EF" w:rsidRDefault="001A20EF" w:rsidP="001A20EF"/>
          <w:p w14:paraId="12B4C88F" w14:textId="5CD38F20" w:rsidR="001A20EF" w:rsidRDefault="001A20EF" w:rsidP="001A20EF">
            <w:pPr>
              <w:pStyle w:val="ConsPlusNormal"/>
              <w:outlineLvl w:val="0"/>
            </w:pPr>
            <w:r>
              <w:rPr>
                <w:b/>
                <w:sz w:val="32"/>
              </w:rPr>
              <w:t xml:space="preserve">Когда нужно согласие должника на уступку </w:t>
            </w:r>
            <w:r w:rsidRPr="001A20EF">
              <w:rPr>
                <w:b/>
                <w:sz w:val="32"/>
                <w:u w:val="single"/>
              </w:rPr>
              <w:t>денежного требования</w:t>
            </w:r>
          </w:p>
          <w:p w14:paraId="3C7EBEEF" w14:textId="77777777" w:rsidR="001A20EF" w:rsidRPr="001A20EF" w:rsidRDefault="001A20EF" w:rsidP="001A20EF">
            <w:pPr>
              <w:pStyle w:val="ConsPlusNormal"/>
              <w:jc w:val="both"/>
              <w:rPr>
                <w:b/>
                <w:bCs/>
                <w:u w:val="single"/>
              </w:rPr>
            </w:pPr>
            <w:r w:rsidRPr="001A20EF">
              <w:rPr>
                <w:b/>
                <w:bCs/>
                <w:u w:val="single"/>
              </w:rPr>
              <w:t>В большинстве случаев такое согласие не нужно.</w:t>
            </w:r>
          </w:p>
          <w:p w14:paraId="656FBE60" w14:textId="77777777" w:rsidR="001A20EF" w:rsidRDefault="001A20EF" w:rsidP="001A20EF">
            <w:pPr>
              <w:pStyle w:val="ConsPlusNormal"/>
              <w:jc w:val="both"/>
            </w:pPr>
            <w:r>
              <w:t xml:space="preserve">Даже если договор между цедентом и должником требует согласия или, более того, запрещает </w:t>
            </w:r>
            <w:proofErr w:type="gramStart"/>
            <w:r>
              <w:t>уступку денежного требования</w:t>
            </w:r>
            <w:proofErr w:type="gramEnd"/>
            <w:r>
              <w:t xml:space="preserve"> и новый кредитор об этом знает, уступка в нарушение таких ограничений действительна. Исключение - если суд установит, что, заключая договор цессии, стороны намеревались причинить вред должнику (</w:t>
            </w:r>
            <w:hyperlink r:id="rId10">
              <w:r>
                <w:rPr>
                  <w:color w:val="0000FF"/>
                </w:rPr>
                <w:t>п. 17</w:t>
              </w:r>
            </w:hyperlink>
            <w:r>
              <w:t xml:space="preserve"> Постановления Пленума Верховного Суда РФ от 21.12.2017 N 54).</w:t>
            </w:r>
          </w:p>
          <w:p w14:paraId="0AE743C4" w14:textId="77777777" w:rsidR="001A20EF" w:rsidRPr="001A20EF" w:rsidRDefault="001A20EF" w:rsidP="001A20EF">
            <w:pPr>
              <w:pStyle w:val="ConsPlusNormal"/>
              <w:jc w:val="both"/>
              <w:rPr>
                <w:b/>
                <w:bCs/>
                <w:u w:val="single"/>
              </w:rPr>
            </w:pPr>
            <w:r>
              <w:t xml:space="preserve">Закон также не обязывает получать согласие должника на уступку денежного требования. </w:t>
            </w:r>
            <w:r w:rsidRPr="001A20EF">
              <w:rPr>
                <w:b/>
                <w:bCs/>
              </w:rPr>
              <w:t xml:space="preserve">Правило </w:t>
            </w:r>
            <w:hyperlink r:id="rId11">
              <w:r w:rsidRPr="001A20EF">
                <w:rPr>
                  <w:b/>
                  <w:bCs/>
                  <w:color w:val="0000FF"/>
                </w:rPr>
                <w:t>п. 2 ст. 388</w:t>
              </w:r>
            </w:hyperlink>
            <w:r w:rsidRPr="001A20EF">
              <w:rPr>
                <w:b/>
                <w:bCs/>
              </w:rPr>
              <w:t xml:space="preserve"> ГК РФ о недопустимости уступки без согласия должника, для которого личность кредитора имеет существенное значение, в данном случае не применяется. Дело в том, что значение личности кредитора нужно оценивать исходя из существа обязательства (</w:t>
            </w:r>
            <w:hyperlink r:id="rId12">
              <w:r w:rsidRPr="001A20EF">
                <w:rPr>
                  <w:b/>
                  <w:bCs/>
                  <w:color w:val="0000FF"/>
                </w:rPr>
                <w:t>п. 10</w:t>
              </w:r>
            </w:hyperlink>
            <w:r w:rsidRPr="001A20EF">
              <w:rPr>
                <w:b/>
                <w:bCs/>
              </w:rPr>
              <w:t xml:space="preserve"> Постановления Пленума Верховного Суда РФ от 21.12.2017 N 54). </w:t>
            </w:r>
            <w:r w:rsidRPr="001A20EF">
              <w:rPr>
                <w:b/>
                <w:bCs/>
                <w:u w:val="single"/>
              </w:rPr>
              <w:t>А существо денежного обязательства предполагает, что личность кредитора неважна.</w:t>
            </w:r>
          </w:p>
          <w:p w14:paraId="651F7657" w14:textId="77777777" w:rsidR="001A20EF" w:rsidRDefault="001A20EF" w:rsidP="001A20EF">
            <w:pPr>
              <w:pStyle w:val="ConsPlusNormal"/>
              <w:jc w:val="both"/>
            </w:pPr>
            <w:r>
              <w:t xml:space="preserve">Тем не менее </w:t>
            </w:r>
            <w:r>
              <w:rPr>
                <w:b/>
              </w:rPr>
              <w:t>рекомендуем получить согласие в следующих случаях</w:t>
            </w:r>
            <w:r>
              <w:t>:</w:t>
            </w:r>
          </w:p>
          <w:p w14:paraId="030BD408" w14:textId="77777777" w:rsidR="001A20EF" w:rsidRDefault="001A20EF" w:rsidP="001A20EF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смена кредитора может повлечь для должника дополнительные необходимые расходы (например, комиссию за перечисление денег в банк нового кредитора). Если в такой ситуации уступка будет проведена без согласия, старому и новому кредиторам придется солидарно возмещать эти расходы. Должник будет вправе предъявить необходимые расходы к зачету или приостановить исполнение до их возмещения (</w:t>
            </w:r>
            <w:hyperlink r:id="rId13">
              <w:r>
                <w:rPr>
                  <w:color w:val="0000FF"/>
                </w:rPr>
                <w:t>п. 18</w:t>
              </w:r>
            </w:hyperlink>
            <w:r>
              <w:t xml:space="preserve"> Постановления Пленума Верховного Суда РФ от 21.12.2017 N 54);</w:t>
            </w:r>
          </w:p>
          <w:p w14:paraId="77D1E403" w14:textId="6F8ECD9A" w:rsidR="001A20EF" w:rsidRDefault="001A20EF" w:rsidP="001A20EF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договор с должником предусматривает ответственность за уступку без согласия (в частности, неустойку) или есть риск, что должник понесет убытки помимо дополнительных расходов. В таких случаях цедент будет обязан уплатить договорную неустойку, возместить убытки (</w:t>
            </w:r>
            <w:hyperlink r:id="rId14">
              <w:r>
                <w:rPr>
                  <w:color w:val="0000FF"/>
                </w:rPr>
                <w:t>п. 2 ст. 382</w:t>
              </w:r>
            </w:hyperlink>
            <w:r>
              <w:t xml:space="preserve">, </w:t>
            </w:r>
            <w:hyperlink r:id="rId15">
              <w:r>
                <w:rPr>
                  <w:color w:val="0000FF"/>
                </w:rPr>
                <w:t>п. 3 ст. 388</w:t>
              </w:r>
            </w:hyperlink>
            <w:r>
              <w:t xml:space="preserve">, </w:t>
            </w:r>
            <w:hyperlink r:id="rId16">
              <w:r>
                <w:rPr>
                  <w:color w:val="0000FF"/>
                </w:rPr>
                <w:t>п. 1 ст. 393</w:t>
              </w:r>
            </w:hyperlink>
            <w:r>
              <w:t xml:space="preserve"> ГК РФ).</w:t>
            </w:r>
          </w:p>
          <w:p w14:paraId="547272B2" w14:textId="77777777" w:rsidR="001A20EF" w:rsidRDefault="001A20EF" w:rsidP="001A20EF">
            <w:pPr>
              <w:pStyle w:val="ConsPlusNormal"/>
              <w:jc w:val="both"/>
            </w:pPr>
          </w:p>
          <w:p w14:paraId="766687A5" w14:textId="77777777" w:rsidR="001A20EF" w:rsidRPr="001A20EF" w:rsidRDefault="001A20EF" w:rsidP="001A20EF">
            <w:pPr>
              <w:pStyle w:val="ConsPlusNormal"/>
              <w:outlineLvl w:val="0"/>
              <w:rPr>
                <w:u w:val="single"/>
              </w:rPr>
            </w:pPr>
            <w:r>
              <w:rPr>
                <w:b/>
                <w:sz w:val="32"/>
              </w:rPr>
              <w:t xml:space="preserve">2. Когда нужно согласие должника на уступку </w:t>
            </w:r>
            <w:r w:rsidRPr="001A20EF">
              <w:rPr>
                <w:b/>
                <w:sz w:val="32"/>
                <w:u w:val="single"/>
              </w:rPr>
              <w:t>неденежного требования</w:t>
            </w:r>
          </w:p>
          <w:p w14:paraId="566EADEA" w14:textId="77777777" w:rsidR="001A20EF" w:rsidRDefault="001A20EF" w:rsidP="001A20EF">
            <w:pPr>
              <w:pStyle w:val="ConsPlusNormal"/>
              <w:jc w:val="both"/>
            </w:pPr>
            <w:r>
              <w:t>Такое согласие необходимо в следующих случаях.</w:t>
            </w:r>
          </w:p>
          <w:p w14:paraId="6F12D647" w14:textId="77777777" w:rsidR="001A20EF" w:rsidRDefault="001A20EF" w:rsidP="001A20EF">
            <w:pPr>
              <w:pStyle w:val="ConsPlusNormal"/>
              <w:jc w:val="both"/>
            </w:pPr>
            <w:r>
              <w:rPr>
                <w:b/>
              </w:rPr>
              <w:t>1. Договор цедента с должником запрещает уступку</w:t>
            </w:r>
            <w:r>
              <w:t xml:space="preserve"> права на получение неденежного исполнения или устанавливает необходимость согласия должника.</w:t>
            </w:r>
          </w:p>
          <w:p w14:paraId="40B34DB1" w14:textId="77777777" w:rsidR="001A20EF" w:rsidRDefault="001A20EF" w:rsidP="001A20EF">
            <w:pPr>
              <w:pStyle w:val="ConsPlusNormal"/>
              <w:jc w:val="both"/>
            </w:pPr>
            <w:r>
              <w:t xml:space="preserve">Отсутствие согласия может повлечь недействительность уступки, если цессионарий знал или должен был </w:t>
            </w:r>
            <w:r>
              <w:lastRenderedPageBreak/>
              <w:t>знать о запрете. Доказать, что такой информации у него не было, трудно, поскольку до подписания договора цессии потенциальный цессионарий обычно знакомится с договором, из которого возникло уступаемое требование. Помимо этого, у цедента могут возникнуть неблагоприятные последствия, если они предусмотрены договором с должником. Например, должник может отказаться от договора (</w:t>
            </w:r>
            <w:hyperlink r:id="rId17">
              <w:r>
                <w:rPr>
                  <w:color w:val="0000FF"/>
                </w:rPr>
                <w:t>п. 4 ст. 388</w:t>
              </w:r>
            </w:hyperlink>
            <w:r>
              <w:t xml:space="preserve"> ГК РФ, </w:t>
            </w:r>
            <w:hyperlink r:id="rId18">
              <w:r>
                <w:rPr>
                  <w:color w:val="0000FF"/>
                </w:rPr>
                <w:t>п. 16</w:t>
              </w:r>
            </w:hyperlink>
            <w:r>
              <w:t xml:space="preserve"> Постановления Пленума Верховного Суда РФ от 21.12.2017 N 54).</w:t>
            </w:r>
          </w:p>
          <w:p w14:paraId="39B8485B" w14:textId="77777777" w:rsidR="001A20EF" w:rsidRDefault="001A20EF" w:rsidP="001A20EF">
            <w:pPr>
              <w:pStyle w:val="ConsPlusNormal"/>
              <w:jc w:val="both"/>
            </w:pPr>
            <w:r>
              <w:rPr>
                <w:b/>
              </w:rPr>
              <w:t>2. Личность кредитора имеет существенное значение</w:t>
            </w:r>
            <w:r>
              <w:t xml:space="preserve"> для должника. Главное при оценке данного обстоятельства - это существо самого обязательства (</w:t>
            </w:r>
            <w:hyperlink r:id="rId19">
              <w:r>
                <w:rPr>
                  <w:color w:val="0000FF"/>
                </w:rPr>
                <w:t>п. 2 ст. 388</w:t>
              </w:r>
            </w:hyperlink>
            <w:r>
              <w:t xml:space="preserve"> ГК РФ, </w:t>
            </w:r>
            <w:hyperlink r:id="rId20">
              <w:r>
                <w:rPr>
                  <w:color w:val="0000FF"/>
                </w:rPr>
                <w:t>п. 10</w:t>
              </w:r>
            </w:hyperlink>
            <w:r>
              <w:t xml:space="preserve"> Постановления Пленума Верховного Суда РФ от 21.12.2017 N 54).</w:t>
            </w:r>
          </w:p>
          <w:p w14:paraId="6DBCA8B7" w14:textId="77777777" w:rsidR="001A20EF" w:rsidRDefault="001A20EF" w:rsidP="001A20EF">
            <w:pPr>
              <w:pStyle w:val="ConsPlusNormal"/>
              <w:jc w:val="both"/>
            </w:pPr>
            <w:r>
              <w:t>Обратите внимание, обязательства, в которых личность кредитора имеет существенное значение для должника, нужно отличать от прав (требований), неразрывно связанных с личностью кредитора: на получение алиментов, возмещение вреда здоровью и т.п. Последние вообще нельзя уступать, договор уступки таких прав ничтожен (</w:t>
            </w:r>
            <w:hyperlink r:id="rId21">
              <w:r>
                <w:rPr>
                  <w:color w:val="0000FF"/>
                </w:rPr>
                <w:t>ст. 383</w:t>
              </w:r>
            </w:hyperlink>
            <w:r>
              <w:t xml:space="preserve"> ГК РФ, </w:t>
            </w:r>
            <w:hyperlink r:id="rId22">
              <w:r>
                <w:rPr>
                  <w:color w:val="0000FF"/>
                </w:rPr>
                <w:t>п. 9</w:t>
              </w:r>
            </w:hyperlink>
            <w:r>
              <w:t xml:space="preserve"> Постановления Пленума Верховного Суда РФ от 21.12.2017 N 54).</w:t>
            </w:r>
          </w:p>
          <w:p w14:paraId="79A176A1" w14:textId="77777777" w:rsidR="001A20EF" w:rsidRDefault="001A20EF" w:rsidP="001A20EF">
            <w:pPr>
              <w:pStyle w:val="ConsPlusNormal"/>
              <w:jc w:val="both"/>
            </w:pPr>
            <w:r>
              <w:rPr>
                <w:b/>
              </w:rPr>
              <w:t>3. Согласие предусмотрено специальными законами</w:t>
            </w:r>
            <w:r>
              <w:t xml:space="preserve">. Например, </w:t>
            </w:r>
            <w:hyperlink r:id="rId23">
              <w:r>
                <w:rPr>
                  <w:color w:val="0000FF"/>
                </w:rPr>
                <w:t>ст. 121</w:t>
              </w:r>
            </w:hyperlink>
            <w:r>
              <w:t xml:space="preserve"> Кодекса торгового мореплавания РФ предусматривает необходимость получать согласие, когда уступаются права фрахтователя по чартеру.</w:t>
            </w:r>
          </w:p>
          <w:p w14:paraId="4250EBF5" w14:textId="77777777" w:rsidR="001A20EF" w:rsidRDefault="001A20EF" w:rsidP="001A20EF">
            <w:pPr>
              <w:pStyle w:val="ConsPlusNormal"/>
              <w:jc w:val="both"/>
            </w:pPr>
            <w:r>
              <w:rPr>
                <w:b/>
              </w:rPr>
              <w:t>4. Исполнение становится значительно более обременительным</w:t>
            </w:r>
            <w:r>
              <w:t xml:space="preserve"> для должника в результате уступки (</w:t>
            </w:r>
            <w:hyperlink r:id="rId24">
              <w:r>
                <w:rPr>
                  <w:color w:val="0000FF"/>
                </w:rPr>
                <w:t>п. 4 ст. 388</w:t>
              </w:r>
            </w:hyperlink>
            <w:r>
              <w:t xml:space="preserve"> ГК РФ). Например, если уступается требование о поставке товара и должник вынужден доставить его новому кредитору на другой конец страны, тогда как прежний кредитор находится с должником в одном городе. Обратите внимание, если должник не соглашался на подобную уступку, он может даже ее не оспаривать, а просто исполнить обязательство цеденту (</w:t>
            </w:r>
            <w:hyperlink r:id="rId25">
              <w:r>
                <w:rPr>
                  <w:color w:val="0000FF"/>
                </w:rPr>
                <w:t>п. 15</w:t>
              </w:r>
            </w:hyperlink>
            <w:r>
              <w:t xml:space="preserve"> Постановления Пленума Верховного Суда РФ от 21.12.2017 N 54).</w:t>
            </w:r>
          </w:p>
          <w:p w14:paraId="3578FE61" w14:textId="77777777" w:rsidR="001A20EF" w:rsidRDefault="001A20EF" w:rsidP="001A20EF">
            <w:pPr>
              <w:pStyle w:val="ConsPlusNormal"/>
              <w:jc w:val="both"/>
            </w:pPr>
            <w:r>
              <w:t>Рекомендуем получить согласие и в том случае, когда исполнение новому кредитору не считается значительно более обременительным для должника, однако требует дополнительных усилий и затрат. Если не получить согласие в этом случае, то уступка имеет силу, но старому и новому кредиторам придется солидарно возмещать дополнительные необходимые расходы должника (как физлица, так и юрлица). Должник может, в частности, приостановить исполнение до возмещения расходов и при этом не будет считаться просрочившим (</w:t>
            </w:r>
            <w:hyperlink r:id="rId26">
              <w:r>
                <w:rPr>
                  <w:color w:val="0000FF"/>
                </w:rPr>
                <w:t>п. п. 15</w:t>
              </w:r>
            </w:hyperlink>
            <w:r>
              <w:t xml:space="preserve">, </w:t>
            </w:r>
            <w:hyperlink r:id="rId27">
              <w:r>
                <w:rPr>
                  <w:color w:val="0000FF"/>
                </w:rPr>
                <w:t>18</w:t>
              </w:r>
            </w:hyperlink>
            <w:r>
              <w:t xml:space="preserve"> Постановления Пленума Верховного Суда РФ от 21.12.2017 N 54).</w:t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"/>
              <w:gridCol w:w="420"/>
              <w:gridCol w:w="9066"/>
              <w:gridCol w:w="180"/>
            </w:tblGrid>
            <w:tr w:rsidR="001A20EF" w14:paraId="088165AF" w14:textId="77777777" w:rsidTr="00CE4A8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C7723B" w14:textId="77777777" w:rsidR="001A20EF" w:rsidRDefault="001A20EF" w:rsidP="001A20EF">
                  <w:pPr>
                    <w:pStyle w:val="ConsPlusNormal"/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1D761B80" w14:textId="77777777" w:rsidR="001A20EF" w:rsidRDefault="001A20EF" w:rsidP="001A20EF">
                  <w:pPr>
                    <w:pStyle w:val="ConsPlusNormal"/>
                  </w:pPr>
                  <w:r>
                    <w:rPr>
                      <w:noProof/>
                    </w:rPr>
                    <w:drawing>
                      <wp:inline distT="0" distB="0" distL="0" distR="0" wp14:anchorId="60524A05" wp14:editId="4FEE7D61">
                        <wp:extent cx="152400" cy="152400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5709BDB6" w14:textId="77777777" w:rsidR="001A20EF" w:rsidRDefault="001A20EF" w:rsidP="001A20EF">
                  <w:pPr>
                    <w:pStyle w:val="ConsPlusNormal"/>
                    <w:jc w:val="both"/>
                  </w:pPr>
                  <w:r>
                    <w:t>См. также:</w:t>
                  </w:r>
                </w:p>
                <w:p w14:paraId="2BBFE282" w14:textId="77777777" w:rsidR="001A20EF" w:rsidRDefault="001A20EF" w:rsidP="001A20EF">
                  <w:pPr>
                    <w:pStyle w:val="ConsPlusNormal"/>
                    <w:numPr>
                      <w:ilvl w:val="0"/>
                      <w:numId w:val="2"/>
                    </w:numPr>
                    <w:jc w:val="both"/>
                  </w:pPr>
                  <w:hyperlink r:id="rId29">
                    <w:r>
                      <w:rPr>
                        <w:color w:val="0000FF"/>
                      </w:rPr>
                      <w:t>В каких случаях договор цессии оспорим</w:t>
                    </w:r>
                  </w:hyperlink>
                </w:p>
                <w:p w14:paraId="7B616493" w14:textId="77777777" w:rsidR="001A20EF" w:rsidRDefault="001A20EF" w:rsidP="001A20EF">
                  <w:pPr>
                    <w:pStyle w:val="ConsPlusNormal"/>
                    <w:numPr>
                      <w:ilvl w:val="0"/>
                      <w:numId w:val="2"/>
                    </w:numPr>
                    <w:jc w:val="both"/>
                  </w:pPr>
                  <w:hyperlink r:id="rId30">
                    <w:r>
                      <w:rPr>
                        <w:color w:val="0000FF"/>
                      </w:rPr>
                      <w:t>Какие последствия влечет признание договора цессии недействительным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5C42F4" w14:textId="77777777" w:rsidR="001A20EF" w:rsidRDefault="001A20EF" w:rsidP="001A20EF">
                  <w:pPr>
                    <w:pStyle w:val="ConsPlusNormal"/>
                  </w:pPr>
                </w:p>
              </w:tc>
            </w:tr>
          </w:tbl>
          <w:p w14:paraId="4DC6DEB3" w14:textId="4F9D3B7F" w:rsidR="001A20EF" w:rsidRDefault="001A20EF" w:rsidP="001A20EF">
            <w:pPr>
              <w:pStyle w:val="ConsPlusNormal"/>
            </w:pPr>
            <w:r>
              <w:t xml:space="preserve">(Источник: </w:t>
            </w:r>
            <w:hyperlink r:id="rId31">
              <w:r>
                <w:rPr>
                  <w:i/>
                  <w:color w:val="0000FF"/>
                </w:rPr>
                <w:t>{Готовое решение: Когда нужно согласие должника на уступку требования и как его оформить (КонсультантПлюс, 2024) {КонсультантПлюс}}</w:t>
              </w:r>
            </w:hyperlink>
            <w:r>
              <w:rPr>
                <w:iCs/>
              </w:rPr>
              <w:t>).</w:t>
            </w:r>
            <w:r>
              <w:br/>
            </w:r>
          </w:p>
          <w:p w14:paraId="4FB071CC" w14:textId="77777777" w:rsidR="001A20EF" w:rsidRDefault="001A20EF" w:rsidP="001A20EF">
            <w:pPr>
              <w:pStyle w:val="ConsPlusNormal"/>
              <w:ind w:firstLine="540"/>
              <w:jc w:val="both"/>
            </w:pPr>
            <w:hyperlink r:id="rId32">
              <w:r>
                <w:rPr>
                  <w:color w:val="0000FF"/>
                </w:rPr>
                <w:t>Постановление</w:t>
              </w:r>
            </w:hyperlink>
            <w:r>
              <w:t xml:space="preserve"> Двадцатого арбитражного апелляционного суда от 05.09.2022 N 20АП-4535/2022 по делу N А62-7425/2019</w:t>
            </w:r>
          </w:p>
          <w:p w14:paraId="3F0A883C" w14:textId="77777777" w:rsidR="001A20EF" w:rsidRPr="001A20EF" w:rsidRDefault="001A20EF" w:rsidP="001A20EF">
            <w:pPr>
              <w:pStyle w:val="ConsPlusNormal"/>
              <w:ind w:firstLine="540"/>
              <w:jc w:val="both"/>
              <w:rPr>
                <w:b/>
                <w:bCs/>
                <w:u w:val="single"/>
              </w:rPr>
            </w:pPr>
            <w:r>
              <w:t>"</w:t>
            </w:r>
            <w:r w:rsidRPr="001A20EF">
              <w:rPr>
                <w:b/>
                <w:bCs/>
              </w:rPr>
              <w:t xml:space="preserve">По общему правилу, предусмотренному </w:t>
            </w:r>
            <w:hyperlink r:id="rId33">
              <w:r w:rsidRPr="001A20EF">
                <w:rPr>
                  <w:b/>
                  <w:bCs/>
                  <w:color w:val="0000FF"/>
                </w:rPr>
                <w:t>пунктом 2 статьи 382</w:t>
              </w:r>
            </w:hyperlink>
            <w:r w:rsidRPr="001A20EF">
              <w:rPr>
                <w:b/>
                <w:bCs/>
              </w:rPr>
              <w:t xml:space="preserve"> ГК РФ, для перехода к другому лицу прав кредитора не требуется согласие должника</w:t>
            </w:r>
            <w:r>
              <w:t xml:space="preserve">, если иное не предусмотрено законом или договором. </w:t>
            </w:r>
            <w:r w:rsidRPr="001A20EF">
              <w:rPr>
                <w:b/>
                <w:bCs/>
              </w:rPr>
              <w:t xml:space="preserve">Исключение из данного правила содержится в </w:t>
            </w:r>
            <w:hyperlink r:id="rId34">
              <w:r w:rsidRPr="001A20EF">
                <w:rPr>
                  <w:b/>
                  <w:bCs/>
                  <w:color w:val="0000FF"/>
                </w:rPr>
                <w:t>пункте 2 статьи 388</w:t>
              </w:r>
            </w:hyperlink>
            <w:r w:rsidRPr="001A20EF">
              <w:rPr>
                <w:b/>
                <w:bCs/>
              </w:rPr>
              <w:t xml:space="preserve"> ГК РФ, предусматривающем недопустимость без согласия должника уступки требования по обязательству, в котором личность кредитора имеет существенное значение для должника. </w:t>
            </w:r>
            <w:r w:rsidRPr="001A20EF">
              <w:rPr>
                <w:b/>
                <w:bCs/>
                <w:u w:val="single"/>
              </w:rPr>
              <w:t xml:space="preserve">Апеллянтом не приведено обоснования тому, что в спорном правоотношении личность кредитора имеет для должника существенное значение в контексте </w:t>
            </w:r>
            <w:hyperlink r:id="rId35">
              <w:r w:rsidRPr="001A20EF">
                <w:rPr>
                  <w:b/>
                  <w:bCs/>
                  <w:color w:val="0000FF"/>
                  <w:u w:val="single"/>
                </w:rPr>
                <w:t>пункта 2 статьи 388</w:t>
              </w:r>
            </w:hyperlink>
            <w:r w:rsidRPr="001A20EF">
              <w:rPr>
                <w:b/>
                <w:bCs/>
                <w:u w:val="single"/>
              </w:rPr>
              <w:t xml:space="preserve"> ГК РФ."</w:t>
            </w:r>
          </w:p>
          <w:p w14:paraId="6E396EC2" w14:textId="06CD2EFB" w:rsidR="00C43B89" w:rsidRPr="001A20EF" w:rsidRDefault="001A20EF" w:rsidP="001A20EF">
            <w:pPr>
              <w:pStyle w:val="ConsPlusNormal"/>
              <w:rPr>
                <w:rFonts w:asciiTheme="minorHAnsi" w:hAnsiTheme="minorHAnsi"/>
                <w:iCs/>
              </w:rPr>
            </w:pPr>
            <w:r>
              <w:t xml:space="preserve">(Источник: </w:t>
            </w:r>
            <w:hyperlink r:id="rId36">
              <w:r>
                <w:rPr>
                  <w:i/>
                  <w:color w:val="0000FF"/>
                </w:rPr>
                <w:t>{Подборка судебных решений за 2022 год: Статья 388 "Условия уступки требования" ГК РФ {КонсультантПлюс}}</w:t>
              </w:r>
            </w:hyperlink>
            <w:r>
              <w:rPr>
                <w:iCs/>
              </w:rPr>
              <w:t>).</w:t>
            </w:r>
          </w:p>
        </w:tc>
      </w:tr>
    </w:tbl>
    <w:p w14:paraId="3A68F88B" w14:textId="77777777" w:rsidR="00C43B89" w:rsidRDefault="00C43B89" w:rsidP="001A20EF">
      <w:pPr>
        <w:tabs>
          <w:tab w:val="left" w:pos="896"/>
          <w:tab w:val="left" w:pos="3262"/>
          <w:tab w:val="left" w:pos="5255"/>
        </w:tabs>
        <w:ind w:right="-28" w:firstLine="540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lastRenderedPageBreak/>
        <w:t>Для поиска информации по вопросу использовались ключевые слова в строке «быстрый поиск»:</w:t>
      </w:r>
    </w:p>
    <w:p w14:paraId="6813C2F6" w14:textId="5C278147" w:rsidR="00C43B89" w:rsidRDefault="00C43B89" w:rsidP="001A20EF">
      <w:pPr>
        <w:pBdr>
          <w:bottom w:val="double" w:sz="6" w:space="1" w:color="auto"/>
        </w:pBdr>
        <w:tabs>
          <w:tab w:val="left" w:pos="896"/>
          <w:tab w:val="left" w:pos="3262"/>
          <w:tab w:val="left" w:pos="5255"/>
        </w:tabs>
        <w:ind w:right="-28" w:firstLine="540"/>
        <w:jc w:val="center"/>
        <w:rPr>
          <w:rFonts w:asciiTheme="minorHAnsi" w:hAnsiTheme="minorHAnsi"/>
          <w:bCs/>
          <w:color w:val="FF0000"/>
        </w:rPr>
      </w:pPr>
      <w:r>
        <w:rPr>
          <w:rFonts w:asciiTheme="minorHAnsi" w:hAnsiTheme="minorHAnsi"/>
          <w:bCs/>
          <w:color w:val="FF0000"/>
        </w:rPr>
        <w:t>«</w:t>
      </w:r>
      <w:r w:rsidR="001A20EF">
        <w:rPr>
          <w:rFonts w:asciiTheme="minorHAnsi" w:hAnsiTheme="minorHAnsi"/>
          <w:bCs/>
          <w:color w:val="FF0000"/>
        </w:rPr>
        <w:t>согласие должника на уступку требования</w:t>
      </w:r>
      <w:r>
        <w:rPr>
          <w:rFonts w:asciiTheme="minorHAnsi" w:hAnsiTheme="minorHAnsi"/>
          <w:bCs/>
          <w:color w:val="FF0000"/>
        </w:rPr>
        <w:t>»</w:t>
      </w:r>
    </w:p>
    <w:p w14:paraId="48941654" w14:textId="77777777" w:rsidR="001A20EF" w:rsidRDefault="001A20EF" w:rsidP="001A20EF"/>
    <w:sectPr w:rsidR="001A20EF" w:rsidSect="001A20E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D4BE1"/>
    <w:multiLevelType w:val="multilevel"/>
    <w:tmpl w:val="799E21D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0F4B54"/>
    <w:multiLevelType w:val="multilevel"/>
    <w:tmpl w:val="374E370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32D"/>
    <w:rsid w:val="001A20EF"/>
    <w:rsid w:val="00227B49"/>
    <w:rsid w:val="00C43B89"/>
    <w:rsid w:val="00D3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BE7A4"/>
  <w15:chartTrackingRefBased/>
  <w15:docId w15:val="{A5B71E7D-D943-496F-97E9-E0E8B5DE0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63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2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286129&amp;dst=100037" TargetMode="External"/><Relationship Id="rId18" Type="http://schemas.openxmlformats.org/officeDocument/2006/relationships/hyperlink" Target="https://login.consultant.ru/link/?req=doc&amp;base=LAW&amp;n=286129&amp;dst=100034" TargetMode="External"/><Relationship Id="rId26" Type="http://schemas.openxmlformats.org/officeDocument/2006/relationships/hyperlink" Target="https://login.consultant.ru/link/?req=doc&amp;base=LAW&amp;n=286129&amp;dst=100033" TargetMode="External"/><Relationship Id="rId21" Type="http://schemas.openxmlformats.org/officeDocument/2006/relationships/hyperlink" Target="https://login.consultant.ru/link/?req=doc&amp;base=LAW&amp;n=471848&amp;dst=1080" TargetMode="External"/><Relationship Id="rId34" Type="http://schemas.openxmlformats.org/officeDocument/2006/relationships/hyperlink" Target="https://login.consultant.ru/link/?req=doc&amp;base=LAW&amp;n=410306&amp;dst=1105" TargetMode="External"/><Relationship Id="rId7" Type="http://schemas.openxmlformats.org/officeDocument/2006/relationships/hyperlink" Target="https://login.consultant.ru/link/?req=doc&amp;base=LAW&amp;n=286129&amp;dst=100007" TargetMode="External"/><Relationship Id="rId12" Type="http://schemas.openxmlformats.org/officeDocument/2006/relationships/hyperlink" Target="https://login.consultant.ru/link/?req=doc&amp;base=LAW&amp;n=286129&amp;dst=100025" TargetMode="External"/><Relationship Id="rId17" Type="http://schemas.openxmlformats.org/officeDocument/2006/relationships/hyperlink" Target="https://login.consultant.ru/link/?req=doc&amp;base=LAW&amp;n=471848&amp;dst=10961" TargetMode="External"/><Relationship Id="rId25" Type="http://schemas.openxmlformats.org/officeDocument/2006/relationships/hyperlink" Target="https://login.consultant.ru/link/?req=doc&amp;base=LAW&amp;n=286129&amp;dst=100032" TargetMode="External"/><Relationship Id="rId33" Type="http://schemas.openxmlformats.org/officeDocument/2006/relationships/hyperlink" Target="https://login.consultant.ru/link/?req=doc&amp;base=LAW&amp;n=410306&amp;dst=1075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1848&amp;dst=101889" TargetMode="External"/><Relationship Id="rId20" Type="http://schemas.openxmlformats.org/officeDocument/2006/relationships/hyperlink" Target="https://login.consultant.ru/link/?req=doc&amp;base=LAW&amp;n=286129&amp;dst=100025" TargetMode="External"/><Relationship Id="rId29" Type="http://schemas.openxmlformats.org/officeDocument/2006/relationships/hyperlink" Target="https://login.consultant.ru/link/?req=doc&amp;base=CJI&amp;n=108879&amp;dst=10001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1848&amp;dst=1104" TargetMode="External"/><Relationship Id="rId11" Type="http://schemas.openxmlformats.org/officeDocument/2006/relationships/hyperlink" Target="https://login.consultant.ru/link/?req=doc&amp;base=LAW&amp;n=471848&amp;dst=1105" TargetMode="External"/><Relationship Id="rId24" Type="http://schemas.openxmlformats.org/officeDocument/2006/relationships/hyperlink" Target="https://login.consultant.ru/link/?req=doc&amp;base=LAW&amp;n=471848&amp;dst=1107" TargetMode="External"/><Relationship Id="rId32" Type="http://schemas.openxmlformats.org/officeDocument/2006/relationships/hyperlink" Target="https://login.consultant.ru/link/?req=doc&amp;base=RAPS020&amp;n=93063&amp;dst=100032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71848&amp;dst=1074" TargetMode="External"/><Relationship Id="rId15" Type="http://schemas.openxmlformats.org/officeDocument/2006/relationships/hyperlink" Target="https://login.consultant.ru/link/?req=doc&amp;base=LAW&amp;n=471848&amp;dst=10680" TargetMode="External"/><Relationship Id="rId23" Type="http://schemas.openxmlformats.org/officeDocument/2006/relationships/hyperlink" Target="https://login.consultant.ru/link/?req=doc&amp;base=LAW&amp;n=479340&amp;dst=100596" TargetMode="External"/><Relationship Id="rId28" Type="http://schemas.openxmlformats.org/officeDocument/2006/relationships/image" Target="media/image1.png"/><Relationship Id="rId36" Type="http://schemas.openxmlformats.org/officeDocument/2006/relationships/hyperlink" Target="https://login.consultant.ru/link/?req=doc&amp;base=PSR&amp;n=84596&amp;dst=100041" TargetMode="External"/><Relationship Id="rId10" Type="http://schemas.openxmlformats.org/officeDocument/2006/relationships/hyperlink" Target="https://login.consultant.ru/link/?req=doc&amp;base=LAW&amp;n=286129&amp;dst=100035" TargetMode="External"/><Relationship Id="rId19" Type="http://schemas.openxmlformats.org/officeDocument/2006/relationships/hyperlink" Target="https://login.consultant.ru/link/?req=doc&amp;base=LAW&amp;n=471848&amp;dst=1105" TargetMode="External"/><Relationship Id="rId31" Type="http://schemas.openxmlformats.org/officeDocument/2006/relationships/hyperlink" Target="https://login.consultant.ru/link/?req=doc&amp;base=CJI&amp;n=119189&amp;dst=1000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PDR&amp;n=49&amp;dst=100020" TargetMode="External"/><Relationship Id="rId14" Type="http://schemas.openxmlformats.org/officeDocument/2006/relationships/hyperlink" Target="https://login.consultant.ru/link/?req=doc&amp;base=LAW&amp;n=471848&amp;dst=1075" TargetMode="External"/><Relationship Id="rId22" Type="http://schemas.openxmlformats.org/officeDocument/2006/relationships/hyperlink" Target="https://login.consultant.ru/link/?req=doc&amp;base=LAW&amp;n=286129&amp;dst=100024" TargetMode="External"/><Relationship Id="rId27" Type="http://schemas.openxmlformats.org/officeDocument/2006/relationships/hyperlink" Target="https://login.consultant.ru/link/?req=doc&amp;base=LAW&amp;n=286129&amp;dst=100037" TargetMode="External"/><Relationship Id="rId30" Type="http://schemas.openxmlformats.org/officeDocument/2006/relationships/hyperlink" Target="https://login.consultant.ru/link/?req=doc&amp;base=CJI&amp;n=108879&amp;dst=100029" TargetMode="External"/><Relationship Id="rId35" Type="http://schemas.openxmlformats.org/officeDocument/2006/relationships/hyperlink" Target="https://login.consultant.ru/link/?req=doc&amp;base=LAW&amp;n=410306&amp;dst=1105" TargetMode="External"/><Relationship Id="rId8" Type="http://schemas.openxmlformats.org/officeDocument/2006/relationships/hyperlink" Target="https://login.consultant.ru/link/?req=doc&amp;base=LAW&amp;n=449455&amp;dst=10001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2024-07-23T09:40:00Z</dcterms:created>
  <dcterms:modified xsi:type="dcterms:W3CDTF">2024-07-23T10:42:00Z</dcterms:modified>
</cp:coreProperties>
</file>