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2A2" w:rsidRDefault="009912A2" w:rsidP="009912A2">
      <w:pPr>
        <w:pStyle w:val="ConsPlusNormal"/>
        <w:jc w:val="both"/>
      </w:pPr>
      <w:r>
        <w:t>Материал предоставлен ООО «</w:t>
      </w:r>
      <w:proofErr w:type="spellStart"/>
      <w:r>
        <w:t>КонсультантПлюс</w:t>
      </w:r>
      <w:proofErr w:type="spellEnd"/>
      <w:r>
        <w:t xml:space="preserve"> Югра».</w:t>
      </w:r>
    </w:p>
    <w:p w:rsidR="009912A2" w:rsidRDefault="009912A2" w:rsidP="009912A2">
      <w:pPr>
        <w:pStyle w:val="ConsPlusNormal"/>
        <w:jc w:val="both"/>
      </w:pPr>
      <w:r>
        <w:t>Услуга оказывается в соответствии с регламентом Линии консультаций:</w:t>
      </w:r>
      <w:r>
        <w:rPr>
          <w:b/>
        </w:rPr>
        <w:t xml:space="preserve"> </w:t>
      </w:r>
      <w:hyperlink r:id="rId4" w:history="1">
        <w:r>
          <w:rPr>
            <w:rStyle w:val="a3"/>
            <w:b/>
          </w:rPr>
          <w:t>http://consultantugra.ru/klientam/goryachaya-liniya/reglament-linii-konsultacij/</w:t>
        </w:r>
      </w:hyperlink>
      <w:r>
        <w:br/>
      </w:r>
    </w:p>
    <w:p w:rsidR="009912A2" w:rsidRDefault="009912A2" w:rsidP="009912A2">
      <w:pPr>
        <w:pStyle w:val="ConsPlusNormal"/>
        <w:jc w:val="both"/>
        <w:outlineLvl w:val="0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912A2" w:rsidTr="009912A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9912A2" w:rsidRDefault="009912A2" w:rsidP="009912A2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>
              <w:rPr>
                <w:color w:val="392C69"/>
              </w:rPr>
              <w:t>02.06.2022</w:t>
            </w:r>
          </w:p>
        </w:tc>
      </w:tr>
    </w:tbl>
    <w:p w:rsidR="009912A2" w:rsidRDefault="009912A2" w:rsidP="009912A2">
      <w:pPr>
        <w:pStyle w:val="ConsPlusNormal"/>
        <w:rPr>
          <w:lang w:val="en-US"/>
        </w:rPr>
      </w:pPr>
      <w:r>
        <w:rPr>
          <w:b/>
          <w:sz w:val="38"/>
        </w:rPr>
        <w:t>По вопросу</w:t>
      </w:r>
      <w:r>
        <w:rPr>
          <w:b/>
          <w:sz w:val="38"/>
          <w:lang w:val="en-US"/>
        </w:rPr>
        <w:t>:</w:t>
      </w:r>
    </w:p>
    <w:p w:rsidR="009912A2" w:rsidRPr="009912A2" w:rsidRDefault="009912A2" w:rsidP="009912A2">
      <w:pPr>
        <w:pStyle w:val="ConsPlusNormal"/>
        <w:jc w:val="both"/>
      </w:pPr>
      <w:r w:rsidRPr="009912A2">
        <w:t>Ситуация: муниципальное учреждение и подрядчик заключили контракт на строительство по 44-ФЗ. По условиям обеспечения контракта подрядчик предоставил учреждению обеспечение в виде независимой гарантии на сумму 5 процентов от цены контракта.</w:t>
      </w:r>
    </w:p>
    <w:p w:rsidR="009912A2" w:rsidRPr="009912A2" w:rsidRDefault="009912A2" w:rsidP="009912A2">
      <w:pPr>
        <w:pStyle w:val="ConsPlusNormal"/>
        <w:jc w:val="both"/>
      </w:pPr>
      <w:r w:rsidRPr="009912A2">
        <w:t xml:space="preserve">В дальнейшем стороны заключили </w:t>
      </w:r>
      <w:proofErr w:type="spellStart"/>
      <w:r w:rsidRPr="009912A2">
        <w:t>допсоглашение</w:t>
      </w:r>
      <w:proofErr w:type="spellEnd"/>
      <w:r w:rsidRPr="009912A2">
        <w:t xml:space="preserve"> о выплате подрядчику аванса в размере 30 процентов. Соответственно возросла и сумма обеспечения контракта, которая также должна составлять теперь 30 процентов. Подрядчик направил учреждению вторую (дополнительную) гарантию на недостающую сумму обеспечения в размере 25 процентов. В таком случае учреждение может пойти по следующему варианту:</w:t>
      </w:r>
      <w:r>
        <w:t xml:space="preserve"> </w:t>
      </w:r>
      <w:r w:rsidRPr="009912A2">
        <w:t>учреждение запрашивает обеспечение контракта сразу на 30 процентов, а первую гарантию на 5 процентов аннулирует. Но учреждение хочет сохранить уже действующую гарантию на 5 процентов.</w:t>
      </w:r>
    </w:p>
    <w:p w:rsidR="009912A2" w:rsidRPr="009912A2" w:rsidRDefault="009912A2" w:rsidP="009912A2">
      <w:pPr>
        <w:pStyle w:val="ConsPlusNormal"/>
        <w:jc w:val="both"/>
      </w:pPr>
      <w:r w:rsidRPr="009912A2">
        <w:t>Вопрос: возможно ли при таких обстоятельствах покрыть обеспечение контракта двумя гарантиями, общая сумма обеспечения которых составит 30 процентов?</w:t>
      </w:r>
    </w:p>
    <w:p w:rsidR="009912A2" w:rsidRPr="009912A2" w:rsidRDefault="009912A2" w:rsidP="009912A2">
      <w:pPr>
        <w:pStyle w:val="ConsPlusNormal"/>
        <w:jc w:val="both"/>
      </w:pPr>
    </w:p>
    <w:p w:rsidR="009912A2" w:rsidRDefault="009912A2" w:rsidP="009912A2">
      <w:pPr>
        <w:pStyle w:val="ConsPlusNormal"/>
        <w:jc w:val="both"/>
        <w:rPr>
          <w:lang w:val="en-US"/>
        </w:rPr>
      </w:pPr>
      <w:r>
        <w:rPr>
          <w:b/>
          <w:sz w:val="38"/>
        </w:rPr>
        <w:t>Сообщаем</w:t>
      </w:r>
      <w:r>
        <w:rPr>
          <w:b/>
          <w:sz w:val="38"/>
          <w:lang w:val="en-US"/>
        </w:rPr>
        <w:t>:</w:t>
      </w:r>
    </w:p>
    <w:p w:rsidR="009912A2" w:rsidRDefault="009912A2" w:rsidP="009912A2"/>
    <w:tbl>
      <w:tblPr>
        <w:tblW w:w="10563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10563"/>
      </w:tblGrid>
      <w:tr w:rsidR="009912A2" w:rsidTr="009912A2">
        <w:tc>
          <w:tcPr>
            <w:tcW w:w="10563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  <w:hideMark/>
          </w:tcPr>
          <w:p w:rsidR="009912A2" w:rsidRDefault="009912A2" w:rsidP="009912A2">
            <w:pPr>
              <w:pStyle w:val="ConsPlusNormal"/>
              <w:ind w:firstLine="540"/>
              <w:jc w:val="both"/>
            </w:pPr>
            <w:r>
              <w:t xml:space="preserve">В </w:t>
            </w:r>
            <w:hyperlink r:id="rId5" w:history="1">
              <w:r>
                <w:rPr>
                  <w:color w:val="0000FF"/>
                </w:rPr>
                <w:t>письме</w:t>
              </w:r>
            </w:hyperlink>
            <w:r>
              <w:t xml:space="preserve"> от 19.01.2018 N 24-03-08/3102 Минфин России указано, что предоставление двух банковских гарантий на разные суммы в разных или равных долях для обеспечения исполнения контракта положениями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не предусмотрено. Аналогичная позиция содержится в </w:t>
            </w:r>
            <w:hyperlink r:id="rId7" w:history="1">
              <w:r>
                <w:rPr>
                  <w:color w:val="0000FF"/>
                </w:rPr>
                <w:t>письме</w:t>
              </w:r>
            </w:hyperlink>
            <w:r>
              <w:t xml:space="preserve"> Минэкономразвития России от 15.01.2016 N Д28и-106 где указано что положениями </w:t>
            </w:r>
            <w:hyperlink r:id="rId8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не предусмотрено предоставление по одному контракту двух банковских гарантий в качестве обеспечения исполнения контракт.</w:t>
            </w:r>
          </w:p>
          <w:p w:rsidR="009912A2" w:rsidRDefault="009912A2" w:rsidP="009912A2">
            <w:pPr>
              <w:pStyle w:val="ConsPlusNormal"/>
              <w:jc w:val="both"/>
            </w:pPr>
            <w:r>
              <w:t xml:space="preserve">(Источник: </w:t>
            </w:r>
            <w:hyperlink r:id="rId9" w:history="1">
              <w:r>
                <w:rPr>
                  <w:i/>
                  <w:color w:val="0000FF"/>
                </w:rPr>
                <w:t>{Решение Хабаровского УФАС России от 24.05.2018 N 159 Обстоятельства: Заявитель обжалует признание общества уклонившемся от заключения контракта. Решение: Признать жалобу необоснованной. {</w:t>
              </w:r>
              <w:proofErr w:type="spellStart"/>
              <w:r>
                <w:rPr>
                  <w:i/>
                  <w:color w:val="0000FF"/>
                </w:rPr>
                <w:t>КонсультантПлюс</w:t>
              </w:r>
              <w:proofErr w:type="spellEnd"/>
              <w:r>
                <w:rPr>
                  <w:i/>
                  <w:color w:val="0000FF"/>
                </w:rPr>
                <w:t>}}</w:t>
              </w:r>
            </w:hyperlink>
          </w:p>
        </w:tc>
      </w:tr>
    </w:tbl>
    <w:p w:rsidR="009912A2" w:rsidRDefault="009912A2" w:rsidP="009912A2">
      <w:pPr>
        <w:widowControl w:val="0"/>
        <w:autoSpaceDE w:val="0"/>
        <w:autoSpaceDN w:val="0"/>
        <w:adjustRightInd w:val="0"/>
        <w:ind w:right="-28" w:firstLine="540"/>
        <w:jc w:val="both"/>
        <w:outlineLvl w:val="0"/>
        <w:rPr>
          <w:rFonts w:ascii="Calibri" w:hAnsi="Calibri"/>
          <w:b/>
          <w:sz w:val="22"/>
          <w:szCs w:val="22"/>
        </w:rPr>
      </w:pPr>
    </w:p>
    <w:p w:rsidR="009912A2" w:rsidRDefault="009912A2" w:rsidP="009912A2">
      <w:pPr>
        <w:pBdr>
          <w:bottom w:val="double" w:sz="6" w:space="1" w:color="auto"/>
        </w:pBdr>
        <w:tabs>
          <w:tab w:val="left" w:pos="5255"/>
        </w:tabs>
        <w:ind w:right="-28" w:firstLine="540"/>
        <w:jc w:val="center"/>
        <w:rPr>
          <w:color w:val="FF0000"/>
        </w:rPr>
      </w:pPr>
      <w:r>
        <w:rPr>
          <w:rFonts w:ascii="Calibri" w:hAnsi="Calibri"/>
          <w:b/>
          <w:sz w:val="22"/>
          <w:szCs w:val="22"/>
        </w:rPr>
        <w:t xml:space="preserve">Поиск информации </w:t>
      </w:r>
      <w:proofErr w:type="gramStart"/>
      <w:r>
        <w:rPr>
          <w:rFonts w:ascii="Calibri" w:hAnsi="Calibri"/>
          <w:b/>
          <w:sz w:val="22"/>
          <w:szCs w:val="22"/>
        </w:rPr>
        <w:t>осуществлялся  при</w:t>
      </w:r>
      <w:proofErr w:type="gramEnd"/>
      <w:r>
        <w:rPr>
          <w:rFonts w:ascii="Calibri" w:hAnsi="Calibri"/>
          <w:b/>
          <w:sz w:val="22"/>
          <w:szCs w:val="22"/>
        </w:rPr>
        <w:t xml:space="preserve">  помощи  «i» к</w:t>
      </w:r>
      <w:r w:rsidR="008E14EB">
        <w:rPr>
          <w:rFonts w:ascii="Calibri" w:hAnsi="Calibri"/>
          <w:b/>
          <w:sz w:val="22"/>
          <w:szCs w:val="22"/>
        </w:rPr>
        <w:t xml:space="preserve"> ст. 96</w:t>
      </w:r>
      <w:r>
        <w:rPr>
          <w:rFonts w:ascii="Calibri" w:hAnsi="Calibri"/>
          <w:b/>
          <w:sz w:val="22"/>
          <w:szCs w:val="22"/>
        </w:rPr>
        <w:t xml:space="preserve"> 44-ФЗ с последующим уточнением </w:t>
      </w:r>
      <w:r>
        <w:rPr>
          <w:color w:val="FF0000"/>
        </w:rPr>
        <w:t>«</w:t>
      </w:r>
      <w:r w:rsidR="008E14EB" w:rsidRPr="008E14EB">
        <w:rPr>
          <w:color w:val="FF0000"/>
        </w:rPr>
        <w:t>двумя гарантиями</w:t>
      </w:r>
      <w:r>
        <w:rPr>
          <w:color w:val="FF0000"/>
        </w:rPr>
        <w:t xml:space="preserve">» </w:t>
      </w:r>
    </w:p>
    <w:p w:rsidR="009912A2" w:rsidRDefault="009912A2" w:rsidP="009912A2">
      <w:pPr>
        <w:pStyle w:val="ConsPlusNormal"/>
        <w:jc w:val="both"/>
        <w:rPr>
          <w:sz w:val="2"/>
          <w:szCs w:val="2"/>
        </w:rPr>
      </w:pPr>
      <w:r>
        <w:rPr>
          <w:b/>
          <w:sz w:val="38"/>
        </w:rPr>
        <w:t>Полезные документы:</w:t>
      </w:r>
    </w:p>
    <w:p w:rsidR="009912A2" w:rsidRDefault="009912A2" w:rsidP="00E827A6">
      <w:pPr>
        <w:pStyle w:val="ConsPlusTitlePage"/>
        <w:jc w:val="right"/>
      </w:pPr>
      <w:r>
        <w:t xml:space="preserve">Документ предоставлен </w:t>
      </w:r>
      <w:hyperlink r:id="rId10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912A2" w:rsidRDefault="009912A2" w:rsidP="009912A2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О предоставлении банковских гарантий для обеспечения исполнения контракта в сфере закупок.</w:t>
      </w:r>
    </w:p>
    <w:p w:rsidR="009912A2" w:rsidRDefault="009912A2" w:rsidP="009912A2">
      <w:pPr>
        <w:pStyle w:val="ConsPlusNormal"/>
        <w:ind w:firstLine="540"/>
        <w:jc w:val="both"/>
      </w:pPr>
    </w:p>
    <w:p w:rsidR="009912A2" w:rsidRDefault="009912A2" w:rsidP="009912A2">
      <w:pPr>
        <w:pStyle w:val="ConsPlusNormal"/>
        <w:ind w:firstLine="540"/>
        <w:jc w:val="both"/>
      </w:pPr>
      <w:r>
        <w:rPr>
          <w:b/>
        </w:rPr>
        <w:t>Ответ:</w:t>
      </w:r>
    </w:p>
    <w:p w:rsidR="009912A2" w:rsidRDefault="009912A2" w:rsidP="009912A2">
      <w:pPr>
        <w:pStyle w:val="ConsPlusTitle"/>
        <w:jc w:val="center"/>
      </w:pPr>
      <w:r>
        <w:t>МИНИСТЕРСТВО ФИНАНСОВ РОССИЙСКОЙ ФЕДЕРАЦИИ</w:t>
      </w:r>
    </w:p>
    <w:p w:rsidR="009912A2" w:rsidRDefault="009912A2" w:rsidP="009912A2">
      <w:pPr>
        <w:pStyle w:val="ConsPlusTitle"/>
        <w:jc w:val="center"/>
      </w:pPr>
    </w:p>
    <w:p w:rsidR="009912A2" w:rsidRDefault="009912A2" w:rsidP="009912A2">
      <w:pPr>
        <w:pStyle w:val="ConsPlusTitle"/>
        <w:jc w:val="center"/>
      </w:pPr>
      <w:r>
        <w:t>ПИСЬМО</w:t>
      </w:r>
    </w:p>
    <w:p w:rsidR="009912A2" w:rsidRDefault="009912A2" w:rsidP="009912A2">
      <w:pPr>
        <w:pStyle w:val="ConsPlusTitle"/>
        <w:jc w:val="center"/>
      </w:pPr>
      <w:r>
        <w:t>от 19 января 2018 г. N 24-03-08/3102</w:t>
      </w:r>
    </w:p>
    <w:p w:rsidR="009912A2" w:rsidRDefault="009912A2" w:rsidP="009912A2">
      <w:pPr>
        <w:pStyle w:val="ConsPlusNormal"/>
        <w:ind w:firstLine="540"/>
        <w:jc w:val="both"/>
      </w:pPr>
    </w:p>
    <w:p w:rsidR="009912A2" w:rsidRDefault="009912A2" w:rsidP="009912A2">
      <w:pPr>
        <w:pStyle w:val="ConsPlusNormal"/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предоставления двух банковских гарантий на разные суммы в разных или равных долях для обеспечения исполнения контракта, сообщает следующее.</w:t>
      </w:r>
    </w:p>
    <w:p w:rsidR="009912A2" w:rsidRDefault="009912A2" w:rsidP="009912A2">
      <w:pPr>
        <w:pStyle w:val="ConsPlusNormal"/>
        <w:ind w:firstLine="540"/>
        <w:jc w:val="both"/>
      </w:pPr>
      <w:r>
        <w:t xml:space="preserve">В соответствии с </w:t>
      </w:r>
      <w:hyperlink r:id="rId12" w:history="1">
        <w:r>
          <w:rPr>
            <w:color w:val="0000FF"/>
          </w:rPr>
          <w:t>частью 3 статьи 96</w:t>
        </w:r>
      </w:hyperlink>
      <w:r>
        <w:t xml:space="preserve"> Закона N 44-ФЗ исполнение контракта может обеспечиваться предоставлением банковской гарантии, выданной банком и соответствующей требованиям </w:t>
      </w:r>
      <w:hyperlink r:id="rId13" w:history="1">
        <w:r>
          <w:rPr>
            <w:color w:val="0000FF"/>
          </w:rPr>
          <w:t>статьи 45</w:t>
        </w:r>
      </w:hyperlink>
      <w:r>
        <w:t xml:space="preserve"> Закона N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</w:t>
      </w:r>
      <w:r>
        <w:lastRenderedPageBreak/>
        <w:t>один месяц.</w:t>
      </w:r>
    </w:p>
    <w:p w:rsidR="009912A2" w:rsidRDefault="009912A2" w:rsidP="009912A2">
      <w:pPr>
        <w:pStyle w:val="ConsPlusNormal"/>
        <w:ind w:firstLine="540"/>
        <w:jc w:val="both"/>
      </w:pPr>
      <w:r>
        <w:t xml:space="preserve">Согласно </w:t>
      </w:r>
      <w:hyperlink r:id="rId14" w:history="1">
        <w:r>
          <w:rPr>
            <w:color w:val="0000FF"/>
          </w:rPr>
          <w:t>части 2 статьи 45</w:t>
        </w:r>
      </w:hyperlink>
      <w:r>
        <w:t xml:space="preserve"> Закона N 44-ФЗ банковская гарантия должна быть безотзывной и должна содержать в том числе сумму банковской гарантии, подлежащую уплате гарантом заказчику в установленных </w:t>
      </w:r>
      <w:hyperlink r:id="rId15" w:history="1">
        <w:r>
          <w:rPr>
            <w:color w:val="0000FF"/>
          </w:rPr>
          <w:t>частью 13 статьи 44</w:t>
        </w:r>
      </w:hyperlink>
      <w:r>
        <w:t xml:space="preserve"> Закона N 44-ФЗ случаях, или сумму банковской гарантии, подлежащую уплате гарантом заказчику в случае ненадлежащего исполнения обязательств принципалом в соответствии со </w:t>
      </w:r>
      <w:hyperlink r:id="rId16" w:history="1">
        <w:r>
          <w:rPr>
            <w:color w:val="0000FF"/>
          </w:rPr>
          <w:t>статьей 96</w:t>
        </w:r>
      </w:hyperlink>
      <w:r>
        <w:t xml:space="preserve"> Закона N 44-ФЗ.</w:t>
      </w:r>
    </w:p>
    <w:p w:rsidR="009912A2" w:rsidRDefault="009912A2" w:rsidP="009912A2">
      <w:pPr>
        <w:pStyle w:val="ConsPlusNormal"/>
        <w:ind w:firstLine="540"/>
        <w:jc w:val="both"/>
      </w:pPr>
      <w:r>
        <w:t>Банковская гарантия должна быть безотзывной и содержать обязательства принципала, надлежащее исполнение которых обеспечивается банковской гарантией (</w:t>
      </w:r>
      <w:hyperlink r:id="rId17" w:history="1">
        <w:r>
          <w:rPr>
            <w:color w:val="0000FF"/>
          </w:rPr>
          <w:t>часть 2 статьи 45</w:t>
        </w:r>
      </w:hyperlink>
      <w:r>
        <w:t xml:space="preserve"> Закона N 44-ФЗ).</w:t>
      </w:r>
    </w:p>
    <w:p w:rsidR="009912A2" w:rsidRDefault="009912A2" w:rsidP="009912A2">
      <w:pPr>
        <w:pStyle w:val="ConsPlusNormal"/>
        <w:ind w:firstLine="540"/>
        <w:jc w:val="both"/>
      </w:pPr>
      <w:r>
        <w:t xml:space="preserve">Согласно </w:t>
      </w:r>
      <w:hyperlink r:id="rId18" w:history="1">
        <w:r>
          <w:rPr>
            <w:color w:val="0000FF"/>
          </w:rPr>
          <w:t>части 4 статьи 96</w:t>
        </w:r>
      </w:hyperlink>
      <w:r>
        <w:t xml:space="preserve"> Закона N 44-ФЗ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N 44-ФЗ.</w:t>
      </w:r>
    </w:p>
    <w:p w:rsidR="009912A2" w:rsidRDefault="009912A2" w:rsidP="009912A2">
      <w:pPr>
        <w:pStyle w:val="ConsPlusNormal"/>
        <w:ind w:firstLine="540"/>
        <w:jc w:val="both"/>
      </w:pPr>
      <w:r>
        <w:t xml:space="preserve">Учитывая изложенное, предоставление двух банковских гарантий на разные суммы в разных или равных долях для обеспечения исполнения контракта положениями </w:t>
      </w:r>
      <w:hyperlink r:id="rId19" w:history="1">
        <w:r>
          <w:rPr>
            <w:color w:val="0000FF"/>
          </w:rPr>
          <w:t>Закона</w:t>
        </w:r>
      </w:hyperlink>
      <w:r>
        <w:t xml:space="preserve"> N 44-ФЗ не предусмотрено.</w:t>
      </w:r>
    </w:p>
    <w:p w:rsidR="009912A2" w:rsidRDefault="009912A2" w:rsidP="009912A2">
      <w:pPr>
        <w:pStyle w:val="ConsPlusNormal"/>
        <w:ind w:firstLine="540"/>
        <w:jc w:val="both"/>
      </w:pPr>
    </w:p>
    <w:p w:rsidR="009912A2" w:rsidRDefault="009912A2" w:rsidP="009912A2">
      <w:pPr>
        <w:pStyle w:val="ConsPlusNormal"/>
        <w:jc w:val="right"/>
      </w:pPr>
      <w:r>
        <w:t>Директор Департамента</w:t>
      </w:r>
    </w:p>
    <w:p w:rsidR="009912A2" w:rsidRDefault="009912A2" w:rsidP="009912A2">
      <w:pPr>
        <w:pStyle w:val="ConsPlusNormal"/>
        <w:jc w:val="right"/>
      </w:pPr>
      <w:r>
        <w:t>Т.П.ДЕМИДОВА</w:t>
      </w:r>
    </w:p>
    <w:p w:rsidR="009912A2" w:rsidRDefault="009912A2" w:rsidP="00E827A6">
      <w:pPr>
        <w:pStyle w:val="ConsPlusNormal"/>
      </w:pPr>
      <w:r>
        <w:t>19.01.2018</w:t>
      </w:r>
    </w:p>
    <w:p w:rsidR="009912A2" w:rsidRDefault="009912A2" w:rsidP="009912A2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9912A2" w:rsidRDefault="009912A2" w:rsidP="00E827A6">
      <w:pPr>
        <w:pStyle w:val="ConsPlusTitlePage"/>
        <w:jc w:val="right"/>
      </w:pPr>
      <w:r>
        <w:t xml:space="preserve">Документ предоставлен </w:t>
      </w:r>
      <w:hyperlink r:id="rId20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912A2" w:rsidRDefault="009912A2" w:rsidP="009912A2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О предоставлении двух банковских гарантий по одному контракту.</w:t>
      </w:r>
    </w:p>
    <w:p w:rsidR="009912A2" w:rsidRDefault="009912A2" w:rsidP="009912A2">
      <w:pPr>
        <w:pStyle w:val="ConsPlusNormal"/>
        <w:jc w:val="both"/>
      </w:pPr>
    </w:p>
    <w:p w:rsidR="009912A2" w:rsidRDefault="009912A2" w:rsidP="009912A2">
      <w:pPr>
        <w:pStyle w:val="ConsPlusNormal"/>
        <w:ind w:firstLine="540"/>
        <w:jc w:val="both"/>
      </w:pPr>
      <w:r>
        <w:rPr>
          <w:b/>
        </w:rPr>
        <w:t>Ответ:</w:t>
      </w:r>
    </w:p>
    <w:p w:rsidR="009912A2" w:rsidRDefault="009912A2" w:rsidP="009912A2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9912A2" w:rsidRDefault="009912A2" w:rsidP="009912A2">
      <w:pPr>
        <w:pStyle w:val="ConsPlusTitle"/>
        <w:jc w:val="center"/>
      </w:pPr>
    </w:p>
    <w:p w:rsidR="009912A2" w:rsidRDefault="009912A2" w:rsidP="009912A2">
      <w:pPr>
        <w:pStyle w:val="ConsPlusTitle"/>
        <w:jc w:val="center"/>
      </w:pPr>
      <w:r>
        <w:t>ПИСЬМО</w:t>
      </w:r>
    </w:p>
    <w:p w:rsidR="009912A2" w:rsidRDefault="009912A2" w:rsidP="009912A2">
      <w:pPr>
        <w:pStyle w:val="ConsPlusTitle"/>
        <w:jc w:val="center"/>
      </w:pPr>
      <w:r>
        <w:t>от 15 января 2016 г. N Д28и-106</w:t>
      </w:r>
    </w:p>
    <w:p w:rsidR="009912A2" w:rsidRDefault="009912A2" w:rsidP="009912A2">
      <w:pPr>
        <w:pStyle w:val="ConsPlusNormal"/>
        <w:jc w:val="both"/>
      </w:pPr>
    </w:p>
    <w:p w:rsidR="009912A2" w:rsidRDefault="009912A2" w:rsidP="009912A2">
      <w:pPr>
        <w:pStyle w:val="ConsPlusNormal"/>
        <w:ind w:firstLine="540"/>
        <w:jc w:val="both"/>
      </w:pPr>
      <w:r>
        <w:t xml:space="preserve">Департамент развития контрактной системы Минэкономразвития России рассмотрел обращение по вопросу о разъяснении положений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9912A2" w:rsidRDefault="009912A2" w:rsidP="009912A2">
      <w:pPr>
        <w:pStyle w:val="ConsPlusNormal"/>
        <w:ind w:firstLine="540"/>
        <w:jc w:val="both"/>
      </w:pPr>
      <w:r>
        <w:t xml:space="preserve">В соответствии с </w:t>
      </w:r>
      <w:hyperlink r:id="rId22" w:history="1">
        <w:r>
          <w:rPr>
            <w:color w:val="0000FF"/>
          </w:rPr>
          <w:t>частью 3 статьи 96</w:t>
        </w:r>
      </w:hyperlink>
      <w:r>
        <w:t xml:space="preserve"> Закона N 44-ФЗ исполнение контракта может обеспечиваться предоставлением банковской гарантии, выданной банком и соответствующей требованиям </w:t>
      </w:r>
      <w:hyperlink r:id="rId23" w:history="1">
        <w:r>
          <w:rPr>
            <w:color w:val="0000FF"/>
          </w:rPr>
          <w:t>статьи 45</w:t>
        </w:r>
      </w:hyperlink>
      <w:r>
        <w:t xml:space="preserve"> Закона N 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один месяц.</w:t>
      </w:r>
    </w:p>
    <w:p w:rsidR="009912A2" w:rsidRDefault="009912A2" w:rsidP="009912A2">
      <w:pPr>
        <w:pStyle w:val="ConsPlusNormal"/>
        <w:ind w:firstLine="540"/>
        <w:jc w:val="both"/>
      </w:pPr>
      <w:r>
        <w:t xml:space="preserve">Учитывая изложенное, положениями </w:t>
      </w:r>
      <w:hyperlink r:id="rId24" w:history="1">
        <w:r>
          <w:rPr>
            <w:color w:val="0000FF"/>
          </w:rPr>
          <w:t>Закона</w:t>
        </w:r>
      </w:hyperlink>
      <w:r>
        <w:t xml:space="preserve"> N 44-ФЗ не предусмотрено предоставление по одному контракту двух банковских гарантий в качестве обеспечения исполнения контракта.</w:t>
      </w:r>
    </w:p>
    <w:p w:rsidR="009912A2" w:rsidRDefault="009912A2" w:rsidP="009912A2">
      <w:pPr>
        <w:pStyle w:val="ConsPlusNormal"/>
        <w:ind w:firstLine="540"/>
        <w:jc w:val="both"/>
      </w:pPr>
      <w:r>
        <w:t xml:space="preserve">Одновременно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</w:t>
      </w:r>
      <w:hyperlink r:id="rId25" w:history="1">
        <w:r>
          <w:rPr>
            <w:color w:val="0000FF"/>
          </w:rPr>
          <w:t>Положением</w:t>
        </w:r>
      </w:hyperlink>
      <w:r>
        <w:t xml:space="preserve">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9912A2" w:rsidRDefault="009912A2" w:rsidP="009912A2">
      <w:pPr>
        <w:pStyle w:val="ConsPlusNormal"/>
        <w:jc w:val="both"/>
      </w:pPr>
    </w:p>
    <w:p w:rsidR="009912A2" w:rsidRDefault="009912A2" w:rsidP="009912A2">
      <w:pPr>
        <w:pStyle w:val="ConsPlusNormal"/>
        <w:jc w:val="right"/>
      </w:pPr>
      <w:r>
        <w:t>Директор Департамента</w:t>
      </w:r>
    </w:p>
    <w:p w:rsidR="009912A2" w:rsidRDefault="009912A2" w:rsidP="009912A2">
      <w:pPr>
        <w:pStyle w:val="ConsPlusNormal"/>
        <w:jc w:val="right"/>
      </w:pPr>
      <w:r>
        <w:t>развития контрактной системы</w:t>
      </w:r>
    </w:p>
    <w:p w:rsidR="009912A2" w:rsidRDefault="009912A2" w:rsidP="009912A2">
      <w:pPr>
        <w:pStyle w:val="ConsPlusNormal"/>
        <w:jc w:val="right"/>
      </w:pPr>
      <w:r>
        <w:t>М.В.ЧЕМЕРИСОВ</w:t>
      </w:r>
    </w:p>
    <w:p w:rsidR="009912A2" w:rsidRDefault="009912A2" w:rsidP="009912A2">
      <w:pPr>
        <w:pStyle w:val="ConsPlusNormal"/>
      </w:pPr>
      <w:r>
        <w:t>15.01.2016</w:t>
      </w:r>
      <w:bookmarkStart w:id="0" w:name="_GoBack"/>
      <w:bookmarkEnd w:id="0"/>
    </w:p>
    <w:p w:rsidR="009912A2" w:rsidRDefault="009912A2" w:rsidP="009912A2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9912A2" w:rsidRDefault="009912A2" w:rsidP="009912A2"/>
    <w:p w:rsidR="00F553BD" w:rsidRDefault="00F553BD" w:rsidP="009912A2"/>
    <w:sectPr w:rsidR="00F553BD" w:rsidSect="009912A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A2"/>
    <w:rsid w:val="008E14EB"/>
    <w:rsid w:val="009912A2"/>
    <w:rsid w:val="00E827A6"/>
    <w:rsid w:val="00F5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CC8EC9-FC14-4ECD-A383-4BA82695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91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1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1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912A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0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96549" TargetMode="External"/><Relationship Id="rId13" Type="http://schemas.openxmlformats.org/officeDocument/2006/relationships/hyperlink" Target="https://login.consultant.ru/link/?req=doc&amp;base=LAW&amp;n=287298&amp;dst=56" TargetMode="External"/><Relationship Id="rId18" Type="http://schemas.openxmlformats.org/officeDocument/2006/relationships/hyperlink" Target="https://login.consultant.ru/link/?req=doc&amp;base=LAW&amp;n=287298&amp;dst=101348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91747" TargetMode="External"/><Relationship Id="rId7" Type="http://schemas.openxmlformats.org/officeDocument/2006/relationships/hyperlink" Target="https://login.consultant.ru/link/?req=doc&amp;base=QSBO&amp;n=12574" TargetMode="External"/><Relationship Id="rId12" Type="http://schemas.openxmlformats.org/officeDocument/2006/relationships/hyperlink" Target="https://login.consultant.ru/link/?req=doc&amp;base=LAW&amp;n=287298&amp;dst=101347" TargetMode="External"/><Relationship Id="rId17" Type="http://schemas.openxmlformats.org/officeDocument/2006/relationships/hyperlink" Target="https://login.consultant.ru/link/?req=doc&amp;base=LAW&amp;n=287298&amp;dst=100553" TargetMode="External"/><Relationship Id="rId25" Type="http://schemas.openxmlformats.org/officeDocument/2006/relationships/hyperlink" Target="https://login.consultant.ru/link/?req=doc&amp;base=LAW&amp;n=187055&amp;dst=100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7298&amp;dst=101344" TargetMode="External"/><Relationship Id="rId20" Type="http://schemas.openxmlformats.org/officeDocument/2006/relationships/hyperlink" Target="https://www.consultant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96549" TargetMode="External"/><Relationship Id="rId11" Type="http://schemas.openxmlformats.org/officeDocument/2006/relationships/hyperlink" Target="https://login.consultant.ru/link/?req=doc&amp;base=LAW&amp;n=287298" TargetMode="External"/><Relationship Id="rId24" Type="http://schemas.openxmlformats.org/officeDocument/2006/relationships/hyperlink" Target="https://login.consultant.ru/link/?req=doc&amp;base=LAW&amp;n=191747&amp;dst=101347" TargetMode="External"/><Relationship Id="rId5" Type="http://schemas.openxmlformats.org/officeDocument/2006/relationships/hyperlink" Target="https://login.consultant.ru/link/?req=doc&amp;base=QSBO&amp;n=18531" TargetMode="External"/><Relationship Id="rId15" Type="http://schemas.openxmlformats.org/officeDocument/2006/relationships/hyperlink" Target="https://login.consultant.ru/link/?req=doc&amp;base=LAW&amp;n=287298&amp;dst=100529" TargetMode="External"/><Relationship Id="rId23" Type="http://schemas.openxmlformats.org/officeDocument/2006/relationships/hyperlink" Target="https://login.consultant.ru/link/?req=doc&amp;base=LAW&amp;n=191747&amp;dst=56" TargetMode="External"/><Relationship Id="rId10" Type="http://schemas.openxmlformats.org/officeDocument/2006/relationships/hyperlink" Target="https://www.consultant.ru" TargetMode="External"/><Relationship Id="rId19" Type="http://schemas.openxmlformats.org/officeDocument/2006/relationships/hyperlink" Target="https://login.consultant.ru/link/?req=doc&amp;base=LAW&amp;n=287298" TargetMode="Externa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PAS&amp;n=501685&amp;dst=100045" TargetMode="External"/><Relationship Id="rId14" Type="http://schemas.openxmlformats.org/officeDocument/2006/relationships/hyperlink" Target="https://login.consultant.ru/link/?req=doc&amp;base=LAW&amp;n=287298&amp;dst=100552" TargetMode="External"/><Relationship Id="rId22" Type="http://schemas.openxmlformats.org/officeDocument/2006/relationships/hyperlink" Target="https://login.consultant.ru/link/?req=doc&amp;base=LAW&amp;n=191747&amp;dst=1013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hline10</dc:creator>
  <cp:keywords/>
  <dc:description/>
  <cp:lastModifiedBy>hline10</cp:lastModifiedBy>
  <cp:revision>1</cp:revision>
  <dcterms:created xsi:type="dcterms:W3CDTF">2022-06-02T08:41:00Z</dcterms:created>
  <dcterms:modified xsi:type="dcterms:W3CDTF">2022-06-02T09:28:00Z</dcterms:modified>
</cp:coreProperties>
</file>