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3D" w:rsidRDefault="006A3EFC" w:rsidP="0005378C">
      <w:pPr>
        <w:pStyle w:val="ConsPlusNormal"/>
        <w:jc w:val="both"/>
      </w:pPr>
      <w:r w:rsidRPr="00C8433D">
        <w:t xml:space="preserve">Документ предоставлен </w:t>
      </w:r>
      <w:r w:rsidR="00C8433D" w:rsidRPr="00C8433D">
        <w:t>ООО «</w:t>
      </w:r>
      <w:r w:rsidRPr="00C8433D">
        <w:t>КонсультантПлюс Югра</w:t>
      </w:r>
      <w:r w:rsidR="00C8433D" w:rsidRPr="00C8433D">
        <w:t>»</w:t>
      </w:r>
      <w:r w:rsidR="00C8433D">
        <w:t>.</w:t>
      </w:r>
    </w:p>
    <w:p w:rsidR="006A3EFC" w:rsidRDefault="00C8433D" w:rsidP="0005378C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  <w:r w:rsidR="006A3EFC">
        <w:br/>
      </w:r>
    </w:p>
    <w:p w:rsidR="006A3EFC" w:rsidRDefault="006A3EFC" w:rsidP="0005378C">
      <w:pPr>
        <w:pStyle w:val="ConsPlusNormal"/>
        <w:jc w:val="both"/>
        <w:outlineLvl w:val="0"/>
      </w:pPr>
    </w:p>
    <w:tbl>
      <w:tblPr>
        <w:tblW w:w="10851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851"/>
      </w:tblGrid>
      <w:tr w:rsidR="006A3EFC" w:rsidTr="0005378C">
        <w:trPr>
          <w:jc w:val="center"/>
        </w:trPr>
        <w:tc>
          <w:tcPr>
            <w:tcW w:w="10851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A3EFC" w:rsidRDefault="006A3EFC" w:rsidP="00185148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B31F96">
              <w:rPr>
                <w:color w:val="392C69"/>
              </w:rPr>
              <w:t>12</w:t>
            </w:r>
            <w:r w:rsidR="0005378C">
              <w:rPr>
                <w:color w:val="392C69"/>
              </w:rPr>
              <w:t>.0</w:t>
            </w:r>
            <w:r w:rsidR="00B31F96">
              <w:rPr>
                <w:color w:val="392C69"/>
              </w:rPr>
              <w:t>5</w:t>
            </w:r>
            <w:r w:rsidR="0005378C">
              <w:rPr>
                <w:color w:val="392C69"/>
              </w:rPr>
              <w:t>.202</w:t>
            </w:r>
            <w:r w:rsidR="00185148">
              <w:rPr>
                <w:color w:val="392C69"/>
              </w:rPr>
              <w:t>2</w:t>
            </w:r>
            <w:r w:rsidR="0005378C">
              <w:rPr>
                <w:color w:val="392C69"/>
              </w:rPr>
              <w:t xml:space="preserve"> г.</w:t>
            </w:r>
          </w:p>
        </w:tc>
      </w:tr>
    </w:tbl>
    <w:p w:rsidR="006A3EFC" w:rsidRDefault="006A3EFC" w:rsidP="0005378C">
      <w:pPr>
        <w:pStyle w:val="ConsPlusNormal"/>
        <w:rPr>
          <w:b/>
          <w:sz w:val="38"/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:rsidR="00B31F96" w:rsidRPr="00B31F96" w:rsidRDefault="00B31F96" w:rsidP="00B31F96">
      <w:pPr>
        <w:pStyle w:val="ConsPlusNormal"/>
        <w:ind w:firstLine="567"/>
        <w:rPr>
          <w:bCs/>
          <w:sz w:val="24"/>
          <w:szCs w:val="24"/>
        </w:rPr>
      </w:pPr>
      <w:r w:rsidRPr="00B31F96">
        <w:rPr>
          <w:bCs/>
          <w:sz w:val="24"/>
          <w:szCs w:val="24"/>
        </w:rPr>
        <w:t>Вопрос ревакцинации. Готовят уведомления для работников, 2х компонентная вакцина, от какой даты считать ревакцинацию</w:t>
      </w:r>
      <w:r w:rsidR="00D021BE">
        <w:rPr>
          <w:bCs/>
          <w:sz w:val="24"/>
          <w:szCs w:val="24"/>
          <w:lang w:val="en-US"/>
        </w:rPr>
        <w:t>:</w:t>
      </w:r>
      <w:r>
        <w:rPr>
          <w:bCs/>
          <w:sz w:val="24"/>
          <w:szCs w:val="24"/>
        </w:rPr>
        <w:t xml:space="preserve"> от 1 компонента или от 2</w:t>
      </w:r>
      <w:r w:rsidRPr="00B31F96">
        <w:rPr>
          <w:bCs/>
          <w:sz w:val="24"/>
          <w:szCs w:val="24"/>
        </w:rPr>
        <w:t>?</w:t>
      </w:r>
    </w:p>
    <w:p w:rsidR="006A3EFC" w:rsidRPr="006A3EFC" w:rsidRDefault="006A3EFC" w:rsidP="0005378C">
      <w:pPr>
        <w:pStyle w:val="ConsPlusNormal"/>
        <w:jc w:val="both"/>
        <w:rPr>
          <w:lang w:val="en-US"/>
        </w:rPr>
      </w:pPr>
      <w:r>
        <w:rPr>
          <w:b/>
          <w:sz w:val="38"/>
        </w:rPr>
        <w:t>Сообщаем</w:t>
      </w:r>
      <w:r>
        <w:rPr>
          <w:b/>
          <w:sz w:val="38"/>
          <w:lang w:val="en-US"/>
        </w:rPr>
        <w:t>:</w:t>
      </w:r>
    </w:p>
    <w:p w:rsidR="006A3EFC" w:rsidRDefault="006A3EFC" w:rsidP="0005378C"/>
    <w:tbl>
      <w:tblPr>
        <w:tblW w:w="10915" w:type="dxa"/>
        <w:tblInd w:w="18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915"/>
      </w:tblGrid>
      <w:tr w:rsidR="006A3EFC" w:rsidRPr="00012663" w:rsidTr="0005378C">
        <w:tc>
          <w:tcPr>
            <w:tcW w:w="10915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89281E" w:rsidRPr="00FB3FF8" w:rsidRDefault="0089281E" w:rsidP="0089281E">
            <w:pPr>
              <w:spacing w:line="220" w:lineRule="atLeast"/>
              <w:ind w:firstLine="540"/>
              <w:jc w:val="both"/>
              <w:rPr>
                <w:b/>
                <w:bCs/>
                <w:u w:val="single"/>
              </w:rPr>
            </w:pPr>
            <w:r w:rsidRPr="00FB3FF8">
              <w:rPr>
                <w:rFonts w:ascii="Calibri" w:hAnsi="Calibri" w:cs="Calibri"/>
                <w:b/>
                <w:bCs/>
                <w:sz w:val="22"/>
                <w:u w:val="single"/>
              </w:rPr>
              <w:t>Министр здравоохранения России</w:t>
            </w:r>
            <w:r>
              <w:rPr>
                <w:rFonts w:ascii="Calibri" w:hAnsi="Calibri" w:cs="Calibri"/>
                <w:sz w:val="22"/>
              </w:rPr>
              <w:t xml:space="preserve"> на заседании координационного совета по борьбе с коронавирусом сообщил, что с учетом неблагоприятной эпидемиологической ситуации </w:t>
            </w:r>
            <w:r w:rsidRPr="00FB3FF8">
              <w:rPr>
                <w:rFonts w:ascii="Calibri" w:hAnsi="Calibri" w:cs="Calibri"/>
                <w:b/>
                <w:bCs/>
                <w:sz w:val="22"/>
                <w:u w:val="single"/>
              </w:rPr>
              <w:t>переболевших COVID-19 и ранее привитых рекомендовано ревакцинировать.</w:t>
            </w:r>
          </w:p>
          <w:p w:rsidR="0089281E" w:rsidRDefault="0089281E" w:rsidP="0089281E">
            <w:pPr>
              <w:spacing w:line="220" w:lineRule="atLeast"/>
              <w:ind w:firstLine="540"/>
              <w:jc w:val="both"/>
            </w:pPr>
            <w:r w:rsidRPr="008569A8">
              <w:rPr>
                <w:rFonts w:ascii="Calibri" w:hAnsi="Calibri" w:cs="Calibri"/>
                <w:b/>
                <w:bCs/>
                <w:sz w:val="22"/>
                <w:u w:val="single"/>
              </w:rPr>
              <w:t>Прививку можно делать спустя 6 месяцев после болезни или предыдущей вакцинации</w:t>
            </w:r>
            <w:r>
              <w:rPr>
                <w:rFonts w:ascii="Calibri" w:hAnsi="Calibri" w:cs="Calibri"/>
                <w:sz w:val="22"/>
              </w:rPr>
              <w:t>. После достижения коллективного иммунитета и стабилизации ситуации процедуру предлагают проводить раз в год.</w:t>
            </w:r>
          </w:p>
          <w:p w:rsidR="0089281E" w:rsidRDefault="0089281E" w:rsidP="0089281E">
            <w:pPr>
              <w:spacing w:line="220" w:lineRule="atLeast"/>
              <w:ind w:firstLine="540"/>
              <w:jc w:val="both"/>
            </w:pPr>
            <w:r>
              <w:rPr>
                <w:rFonts w:ascii="Calibri" w:hAnsi="Calibri" w:cs="Calibri"/>
                <w:i/>
                <w:sz w:val="22"/>
              </w:rPr>
              <w:t>Документ: Информация с сайта Правительства РФ от 29.06.2021 (http://government.ru/news/42642/)</w:t>
            </w:r>
          </w:p>
          <w:p w:rsidR="0089281E" w:rsidRDefault="0089281E" w:rsidP="0089281E">
            <w:pPr>
              <w:spacing w:after="1" w:line="220" w:lineRule="atLeast"/>
              <w:ind w:firstLine="529"/>
            </w:pPr>
            <w:r>
              <w:rPr>
                <w:b/>
                <w:bCs/>
              </w:rPr>
              <w:t>(Источник:</w:t>
            </w:r>
            <w:hyperlink r:id="rId6" w:history="1">
              <w:r>
                <w:t xml:space="preserve"> </w:t>
              </w:r>
              <w:r>
                <w:rPr>
                  <w:rFonts w:ascii="Calibri" w:hAnsi="Calibri" w:cs="Calibri"/>
                  <w:i/>
                  <w:color w:val="0000FF"/>
                  <w:sz w:val="22"/>
                </w:rPr>
                <w:t>"КонсультантПлюс: Новости для специалиста организации здравоохранения с 28 июня по 2 июля 2021 года" {КонсультантПлюс}</w:t>
              </w:r>
            </w:hyperlink>
            <w:r>
              <w:rPr>
                <w:rFonts w:ascii="Calibri" w:hAnsi="Calibri" w:cs="Calibri"/>
                <w:sz w:val="22"/>
              </w:rPr>
              <w:br/>
            </w:r>
          </w:p>
          <w:p w:rsidR="008569A8" w:rsidRDefault="008569A8" w:rsidP="00FB3FF8">
            <w:pPr>
              <w:spacing w:line="240" w:lineRule="atLeast"/>
              <w:ind w:firstLine="540"/>
              <w:jc w:val="both"/>
            </w:pPr>
            <w:r>
              <w:t xml:space="preserve">2.20. Вакцинацию против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(COVID-19) по эпидемическим показаниям:</w:t>
            </w:r>
          </w:p>
          <w:p w:rsidR="008569A8" w:rsidRDefault="008569A8" w:rsidP="00FB3FF8">
            <w:pPr>
              <w:spacing w:line="240" w:lineRule="atLeast"/>
              <w:ind w:firstLine="540"/>
              <w:jc w:val="both"/>
            </w:pPr>
            <w:r>
              <w:t xml:space="preserve">- </w:t>
            </w:r>
            <w:r w:rsidRPr="00FB3FF8">
              <w:rPr>
                <w:b/>
                <w:bCs/>
                <w:u w:val="single"/>
              </w:rPr>
              <w:t>необходимо проводить через 6 месяцев после предыдущей вакцинации</w:t>
            </w:r>
            <w:r>
              <w:t xml:space="preserve"> ("экстренная" вакцинация). Сертификат формируется на Едином портале государственных и муниципальных услуг (функций) не позднее 3 календарных дней после дня внесения в Регистр сведений о завершении в соответствии с инструкцией по применению лекарственного препарата вакцинации против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(COVID-19). Срок действия Сертификата - 12 месяцев от даты завершения предыдущей вакцинации;</w:t>
            </w:r>
          </w:p>
          <w:p w:rsidR="008569A8" w:rsidRDefault="008569A8" w:rsidP="00FB3FF8">
            <w:pPr>
              <w:spacing w:line="240" w:lineRule="atLeast"/>
              <w:ind w:firstLine="540"/>
              <w:jc w:val="both"/>
            </w:pPr>
            <w:r>
              <w:t xml:space="preserve">- после перенесенного заболевания в связи с постепенным угасанием иммунного ответа, через 6 месяцев после выздоровления (от даты выздоровления) для формирования стойкого иммунного ответа. Сертификат формируется на Едином портале государственных и муниципальных услуг (функций) не позднее 3 календарных дней после дня внесения в Регистр информации о перенесенном заболевании, вызванном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инфекцией (COVID-19). Срок действия сертификата - 12 месяцев от даты выздоровления. В случае отсутствия даты выздоровления в Регистре Сертификат на Едином портале государственных и муниципальных услуг (функций) формируется спустя 30 дней от начала заболевания.</w:t>
            </w:r>
          </w:p>
          <w:p w:rsidR="00FB3FF8" w:rsidRDefault="00FB3FF8" w:rsidP="00FB3FF8">
            <w:pPr>
              <w:spacing w:after="1" w:line="240" w:lineRule="atLeast"/>
              <w:ind w:firstLine="529"/>
              <w:rPr>
                <w:i/>
                <w:color w:val="0000FF"/>
              </w:rPr>
            </w:pPr>
            <w:r>
              <w:rPr>
                <w:b/>
                <w:bCs/>
              </w:rPr>
              <w:t xml:space="preserve">(Источник: </w:t>
            </w:r>
            <w:hyperlink r:id="rId7" w:history="1">
              <w:r w:rsidR="008569A8">
                <w:rPr>
                  <w:i/>
                  <w:color w:val="0000FF"/>
                </w:rPr>
                <w:t xml:space="preserve">&lt;Письмо&gt; Минздрава России от 22.12.2021 N 30-4/И/2-21694 &lt;О направлении актуализированных временных методических рекомендаций "Порядок проведения вакцинации против новой </w:t>
              </w:r>
              <w:proofErr w:type="spellStart"/>
              <w:r w:rsidR="008569A8">
                <w:rPr>
                  <w:i/>
                  <w:color w:val="0000FF"/>
                </w:rPr>
                <w:t>коронавирусной</w:t>
              </w:r>
              <w:proofErr w:type="spellEnd"/>
              <w:r w:rsidR="008569A8">
                <w:rPr>
                  <w:i/>
                  <w:color w:val="0000FF"/>
                </w:rPr>
                <w:t xml:space="preserve"> инфекции (COVID-19)"&gt; {</w:t>
              </w:r>
              <w:proofErr w:type="spellStart"/>
              <w:r w:rsidR="008569A8">
                <w:rPr>
                  <w:i/>
                  <w:color w:val="0000FF"/>
                </w:rPr>
                <w:t>КонсультантПлюс</w:t>
              </w:r>
              <w:proofErr w:type="spellEnd"/>
              <w:r w:rsidR="008569A8">
                <w:rPr>
                  <w:i/>
                  <w:color w:val="0000FF"/>
                </w:rPr>
                <w:t>}</w:t>
              </w:r>
            </w:hyperlink>
            <w:bookmarkStart w:id="0" w:name="_GoBack"/>
            <w:bookmarkEnd w:id="0"/>
          </w:p>
          <w:p w:rsidR="00FB3FF8" w:rsidRDefault="00FB3FF8" w:rsidP="00FB3FF8">
            <w:pPr>
              <w:spacing w:after="1" w:line="240" w:lineRule="atLeast"/>
              <w:ind w:firstLine="529"/>
              <w:rPr>
                <w:i/>
                <w:color w:val="0000FF"/>
              </w:rPr>
            </w:pPr>
          </w:p>
          <w:p w:rsidR="00FB3FF8" w:rsidRDefault="00FB3FF8" w:rsidP="00FB3FF8">
            <w:pPr>
              <w:spacing w:line="240" w:lineRule="atLeast"/>
              <w:ind w:firstLine="529"/>
              <w:jc w:val="both"/>
            </w:pPr>
            <w:r w:rsidRPr="00831B76">
              <w:rPr>
                <w:b/>
                <w:bCs/>
                <w:u w:val="single"/>
              </w:rPr>
              <w:t xml:space="preserve">Медицинский </w:t>
            </w:r>
            <w:hyperlink r:id="rId8" w:history="1">
              <w:r w:rsidRPr="00831B76">
                <w:rPr>
                  <w:b/>
                  <w:bCs/>
                  <w:color w:val="0000FF"/>
                  <w:u w:val="single"/>
                </w:rPr>
                <w:t>сертификат</w:t>
              </w:r>
            </w:hyperlink>
            <w:r>
              <w:t xml:space="preserve">, содержащий QR-код (двухмерный штриховой код, подтверждающий наличие в информационном ресурсе соответствующих сведений), может быть получен, в частности, после введения второго компонента двухкомпонентной вакцины или после завершения вакцинации вакциной "Спутник </w:t>
            </w:r>
            <w:proofErr w:type="spellStart"/>
            <w:r>
              <w:t>Лайт</w:t>
            </w:r>
            <w:proofErr w:type="spellEnd"/>
            <w:r>
              <w:t>". Срок действия сертификата (QR-кода) (</w:t>
            </w:r>
            <w:hyperlink r:id="rId9" w:history="1">
              <w:r>
                <w:rPr>
                  <w:color w:val="0000FF"/>
                </w:rPr>
                <w:t>п. 2</w:t>
              </w:r>
            </w:hyperlink>
            <w:r>
              <w:t xml:space="preserve"> Приложения N 4 к Приказу Минздрава России N 1053н; </w:t>
            </w:r>
            <w:hyperlink r:id="rId10" w:history="1">
              <w:r>
                <w:rPr>
                  <w:color w:val="0000FF"/>
                </w:rPr>
                <w:t>п. п. 2.19</w:t>
              </w:r>
            </w:hyperlink>
            <w:r>
              <w:t xml:space="preserve">, </w:t>
            </w:r>
            <w:hyperlink r:id="rId11" w:history="1">
              <w:r>
                <w:rPr>
                  <w:color w:val="0000FF"/>
                </w:rPr>
                <w:t>2.20</w:t>
              </w:r>
            </w:hyperlink>
            <w:r>
              <w:t xml:space="preserve"> Порядка проведения вакцинации):</w:t>
            </w:r>
          </w:p>
          <w:p w:rsidR="00FB3FF8" w:rsidRDefault="00FB3FF8" w:rsidP="00FB3FF8">
            <w:pPr>
              <w:numPr>
                <w:ilvl w:val="0"/>
                <w:numId w:val="4"/>
              </w:numPr>
              <w:spacing w:line="240" w:lineRule="atLeast"/>
              <w:ind w:left="0" w:firstLine="529"/>
              <w:jc w:val="both"/>
            </w:pPr>
            <w:r w:rsidRPr="00FB3FF8">
              <w:rPr>
                <w:b/>
                <w:bCs/>
                <w:u w:val="single"/>
              </w:rPr>
              <w:t>в случае первичной вакцинации - 12 месяцев от даты введения второго компонента вакцины</w:t>
            </w:r>
            <w:r>
              <w:t xml:space="preserve"> или 12 месяцев от даты истечения 21-дневного периода после вакцинации вакциной "Спутник </w:t>
            </w:r>
            <w:proofErr w:type="spellStart"/>
            <w:r>
              <w:t>Лайт</w:t>
            </w:r>
            <w:proofErr w:type="spellEnd"/>
            <w:r>
              <w:t>";</w:t>
            </w:r>
          </w:p>
          <w:p w:rsidR="00FB3FF8" w:rsidRDefault="00FB3FF8" w:rsidP="00FB3FF8">
            <w:pPr>
              <w:numPr>
                <w:ilvl w:val="0"/>
                <w:numId w:val="4"/>
              </w:numPr>
              <w:spacing w:line="240" w:lineRule="atLeast"/>
              <w:ind w:left="0" w:firstLine="529"/>
              <w:jc w:val="both"/>
            </w:pPr>
            <w:r w:rsidRPr="00FB3FF8">
              <w:rPr>
                <w:b/>
                <w:bCs/>
                <w:u w:val="single"/>
              </w:rPr>
              <w:t>в случае ревакцинации - 12 месяцев от даты завершения предыдущей вакцинации</w:t>
            </w:r>
            <w:r>
              <w:t>;</w:t>
            </w:r>
          </w:p>
          <w:p w:rsidR="00FB3FF8" w:rsidRDefault="00FB3FF8" w:rsidP="00FB3FF8">
            <w:pPr>
              <w:numPr>
                <w:ilvl w:val="0"/>
                <w:numId w:val="4"/>
              </w:numPr>
              <w:spacing w:line="240" w:lineRule="atLeast"/>
              <w:ind w:left="0" w:firstLine="529"/>
              <w:jc w:val="both"/>
            </w:pPr>
            <w:r>
              <w:t>в случае вакцинации лиц, переболевших COVID-19, - 12 месяцев от даты выздоровления.</w:t>
            </w:r>
          </w:p>
          <w:p w:rsidR="006A3EFC" w:rsidRPr="0089281E" w:rsidRDefault="00FB3FF8" w:rsidP="00FB3FF8">
            <w:pPr>
              <w:spacing w:after="1" w:line="240" w:lineRule="atLeast"/>
              <w:ind w:firstLine="529"/>
            </w:pPr>
            <w:r>
              <w:rPr>
                <w:b/>
                <w:bCs/>
              </w:rPr>
              <w:t xml:space="preserve">(Источник: </w:t>
            </w:r>
            <w:hyperlink r:id="rId12" w:history="1">
              <w:r>
                <w:rPr>
                  <w:i/>
                  <w:color w:val="0000FF"/>
                </w:rPr>
                <w:t xml:space="preserve">{Ситуация: Как получить электронный сертификат о вакцинировании против </w:t>
              </w:r>
              <w:r>
                <w:rPr>
                  <w:i/>
                  <w:color w:val="0000FF"/>
                </w:rPr>
                <w:lastRenderedPageBreak/>
                <w:t>COVID-19 или медицинских противопоказаниях к вакцинации и (или) о перенесенном заболевании COVID-19? ("Электронный журнал "Азбука права", 2022) {КонсультантПлюс}}</w:t>
              </w:r>
            </w:hyperlink>
          </w:p>
        </w:tc>
      </w:tr>
    </w:tbl>
    <w:p w:rsidR="00481751" w:rsidRDefault="00481751" w:rsidP="00481751">
      <w:pPr>
        <w:tabs>
          <w:tab w:val="left" w:pos="5255"/>
        </w:tabs>
        <w:ind w:firstLine="540"/>
        <w:jc w:val="center"/>
        <w:rPr>
          <w:rFonts w:asciiTheme="minorHAnsi" w:hAnsiTheme="minorHAnsi"/>
          <w:b/>
          <w:sz w:val="22"/>
          <w:szCs w:val="22"/>
        </w:rPr>
      </w:pPr>
    </w:p>
    <w:p w:rsidR="00481751" w:rsidRDefault="00481751" w:rsidP="00481751">
      <w:pPr>
        <w:tabs>
          <w:tab w:val="left" w:pos="5255"/>
        </w:tabs>
        <w:ind w:firstLine="540"/>
        <w:jc w:val="center"/>
        <w:rPr>
          <w:rFonts w:asciiTheme="minorHAnsi" w:hAnsiTheme="minorHAnsi"/>
          <w:b/>
          <w:sz w:val="22"/>
          <w:szCs w:val="22"/>
        </w:rPr>
      </w:pPr>
      <w:r w:rsidRPr="00C8433D">
        <w:rPr>
          <w:rFonts w:asciiTheme="minorHAnsi" w:hAnsiTheme="minorHAnsi"/>
          <w:b/>
          <w:sz w:val="22"/>
          <w:szCs w:val="22"/>
        </w:rPr>
        <w:t>Для поиска  информации по вопросу использовались ключевые слова в строке «быстрый поиск»:</w:t>
      </w:r>
    </w:p>
    <w:p w:rsidR="00481751" w:rsidRPr="000B0ADD" w:rsidRDefault="00B31F96" w:rsidP="00481751">
      <w:pPr>
        <w:pBdr>
          <w:bottom w:val="double" w:sz="6" w:space="1" w:color="auto"/>
        </w:pBdr>
        <w:tabs>
          <w:tab w:val="left" w:pos="5255"/>
        </w:tabs>
        <w:ind w:firstLine="540"/>
        <w:jc w:val="center"/>
        <w:rPr>
          <w:rFonts w:asciiTheme="minorHAnsi" w:hAnsiTheme="minorHAnsi"/>
          <w:b/>
          <w:color w:val="FF0000"/>
          <w:sz w:val="22"/>
          <w:szCs w:val="22"/>
        </w:rPr>
      </w:pPr>
      <w:r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r w:rsidR="00481751">
        <w:rPr>
          <w:rFonts w:asciiTheme="minorHAnsi" w:hAnsiTheme="minorHAnsi"/>
          <w:b/>
          <w:color w:val="FF0000"/>
          <w:sz w:val="22"/>
          <w:szCs w:val="22"/>
        </w:rPr>
        <w:t>«</w:t>
      </w:r>
      <w:r w:rsidR="00FB3FF8" w:rsidRPr="00FB3FF8">
        <w:rPr>
          <w:rFonts w:asciiTheme="minorHAnsi" w:hAnsiTheme="minorHAnsi"/>
          <w:b/>
          <w:color w:val="FF0000"/>
          <w:sz w:val="22"/>
          <w:szCs w:val="22"/>
        </w:rPr>
        <w:t>ревакцинация 6 месяцев</w:t>
      </w:r>
      <w:r w:rsidR="00481751">
        <w:rPr>
          <w:rFonts w:asciiTheme="minorHAnsi" w:hAnsiTheme="minorHAnsi"/>
          <w:b/>
          <w:color w:val="FF0000"/>
          <w:sz w:val="22"/>
          <w:szCs w:val="22"/>
        </w:rPr>
        <w:t>»</w:t>
      </w:r>
    </w:p>
    <w:p w:rsidR="00511BF2" w:rsidRDefault="00511BF2" w:rsidP="0005378C">
      <w:pPr>
        <w:pStyle w:val="ConsPlusNormal"/>
        <w:jc w:val="both"/>
      </w:pPr>
    </w:p>
    <w:p w:rsidR="00931DB5" w:rsidRDefault="00931DB5"/>
    <w:sectPr w:rsidR="00931DB5" w:rsidSect="000537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539F0"/>
    <w:multiLevelType w:val="multilevel"/>
    <w:tmpl w:val="D6F0478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EFC"/>
    <w:rsid w:val="00012663"/>
    <w:rsid w:val="0005378C"/>
    <w:rsid w:val="000B0ADD"/>
    <w:rsid w:val="00185148"/>
    <w:rsid w:val="001D3E78"/>
    <w:rsid w:val="0040614E"/>
    <w:rsid w:val="00481751"/>
    <w:rsid w:val="00511BF2"/>
    <w:rsid w:val="005C651F"/>
    <w:rsid w:val="006A3EFC"/>
    <w:rsid w:val="0082510F"/>
    <w:rsid w:val="00831B76"/>
    <w:rsid w:val="008569A8"/>
    <w:rsid w:val="0089281E"/>
    <w:rsid w:val="00931DB5"/>
    <w:rsid w:val="009D3A9C"/>
    <w:rsid w:val="00B31F96"/>
    <w:rsid w:val="00C8433D"/>
    <w:rsid w:val="00D021BE"/>
    <w:rsid w:val="00E2432A"/>
    <w:rsid w:val="00E60DBD"/>
    <w:rsid w:val="00FB3FF8"/>
    <w:rsid w:val="00F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E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A3E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rsid w:val="00C843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43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9080&amp;dst=10007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04645&amp;dst=100058" TargetMode="External"/><Relationship Id="rId12" Type="http://schemas.openxmlformats.org/officeDocument/2006/relationships/hyperlink" Target="https://login.consultant.ru/link/?req=doc&amp;base=PBI&amp;n=285278&amp;dst=1000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CJI&amp;n=137497&amp;dst=7006,1" TargetMode="External"/><Relationship Id="rId11" Type="http://schemas.openxmlformats.org/officeDocument/2006/relationships/hyperlink" Target="https://login.consultant.ru/link/?req=doc&amp;base=LAW&amp;n=404645&amp;dst=100058" TargetMode="External"/><Relationship Id="rId5" Type="http://schemas.openxmlformats.org/officeDocument/2006/relationships/hyperlink" Target="http://consultantugra.ru/klientam/goryachaya-liniya/reglament-linii-konsultacij/" TargetMode="External"/><Relationship Id="rId10" Type="http://schemas.openxmlformats.org/officeDocument/2006/relationships/hyperlink" Target="https://login.consultant.ru/link/?req=doc&amp;base=LAW&amp;n=404645&amp;dst=1000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9080&amp;dst=1001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hline1</dc:creator>
  <cp:lastModifiedBy>hline1</cp:lastModifiedBy>
  <cp:revision>13</cp:revision>
  <dcterms:created xsi:type="dcterms:W3CDTF">2021-03-19T10:59:00Z</dcterms:created>
  <dcterms:modified xsi:type="dcterms:W3CDTF">2022-05-17T05:12:00Z</dcterms:modified>
</cp:coreProperties>
</file>