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86" w:rsidRDefault="00915E86" w:rsidP="00915E86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Югра»</w:t>
      </w:r>
      <w:r>
        <w:t>.</w:t>
      </w:r>
    </w:p>
    <w:p w:rsidR="00915E86" w:rsidRDefault="00915E86" w:rsidP="00915E86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4" w:history="1">
        <w:r w:rsidRPr="00523A24">
          <w:rPr>
            <w:rStyle w:val="a3"/>
            <w:b/>
          </w:rPr>
          <w:t>http://consultantugra.ru/klientam/goryachaya-liniya/reglament-linii-konsultacij/</w:t>
        </w:r>
      </w:hyperlink>
    </w:p>
    <w:tbl>
      <w:tblPr>
        <w:tblW w:w="11283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83"/>
      </w:tblGrid>
      <w:tr w:rsidR="00915E86" w:rsidRPr="00220A63" w:rsidTr="00EF793B">
        <w:trPr>
          <w:jc w:val="center"/>
        </w:trPr>
        <w:tc>
          <w:tcPr>
            <w:tcW w:w="11283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E86" w:rsidRDefault="00915E86" w:rsidP="00915E86">
            <w:pPr>
              <w:pStyle w:val="ConsPlusNormal"/>
              <w:jc w:val="right"/>
            </w:pPr>
            <w:r>
              <w:rPr>
                <w:color w:val="392C69"/>
              </w:rPr>
              <w:t>Актуально на 1</w:t>
            </w:r>
            <w:r>
              <w:rPr>
                <w:color w:val="392C69"/>
              </w:rPr>
              <w:t>9</w:t>
            </w:r>
            <w:r>
              <w:rPr>
                <w:color w:val="392C69"/>
              </w:rPr>
              <w:t>.05.2022 г.</w:t>
            </w:r>
          </w:p>
        </w:tc>
      </w:tr>
    </w:tbl>
    <w:p w:rsidR="00915E86" w:rsidRPr="00C07197" w:rsidRDefault="00915E86" w:rsidP="00915E86">
      <w:pPr>
        <w:pStyle w:val="ConsPlusNormal"/>
        <w:ind w:firstLine="567"/>
      </w:pPr>
      <w:r>
        <w:rPr>
          <w:b/>
          <w:sz w:val="38"/>
        </w:rPr>
        <w:t>По вопросу</w:t>
      </w:r>
      <w:r w:rsidRPr="00C07197">
        <w:rPr>
          <w:b/>
          <w:sz w:val="38"/>
        </w:rPr>
        <w:t>:</w:t>
      </w:r>
    </w:p>
    <w:p w:rsidR="00915E86" w:rsidRDefault="00915E86" w:rsidP="00915E86">
      <w:pPr>
        <w:pStyle w:val="ConsPlusNormal"/>
        <w:ind w:firstLine="567"/>
      </w:pPr>
      <w:r w:rsidRPr="00915E86">
        <w:t>По ПОСТАНОВЛЕНИЮ от 29 апреля 2022 г. N 776 ОБ ИЗМЕНЕНИИ СРОКОВ УПЛАТЫ СТРАХОВЫХ ВЗНОСОВ В 2022 ГОДУ предусмотрен ли перенос уплаты страховых взносов от несчастных случаев?</w:t>
      </w:r>
    </w:p>
    <w:p w:rsidR="00915E86" w:rsidRDefault="00915E86" w:rsidP="00915E86">
      <w:pPr>
        <w:pStyle w:val="ConsPlusNormal"/>
        <w:ind w:firstLine="567"/>
        <w:rPr>
          <w:b/>
          <w:szCs w:val="22"/>
        </w:rPr>
      </w:pPr>
      <w:r>
        <w:rPr>
          <w:b/>
          <w:sz w:val="38"/>
        </w:rPr>
        <w:t>Сообщаем</w:t>
      </w:r>
      <w:r w:rsidRPr="00A71DCB">
        <w:rPr>
          <w:b/>
          <w:sz w:val="38"/>
        </w:rPr>
        <w:t>:</w:t>
      </w:r>
      <w:r w:rsidRPr="00005F11">
        <w:rPr>
          <w:b/>
          <w:szCs w:val="22"/>
        </w:rPr>
        <w:t xml:space="preserve"> </w:t>
      </w:r>
    </w:p>
    <w:tbl>
      <w:tblPr>
        <w:tblW w:w="11340" w:type="dxa"/>
        <w:tblInd w:w="-3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340"/>
      </w:tblGrid>
      <w:tr w:rsidR="00915E86" w:rsidRPr="00220A63" w:rsidTr="00EF793B">
        <w:trPr>
          <w:trHeight w:val="24"/>
        </w:trPr>
        <w:tc>
          <w:tcPr>
            <w:tcW w:w="11340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915E86" w:rsidRPr="00134134" w:rsidRDefault="002E2830" w:rsidP="002E2830">
            <w:pPr>
              <w:pStyle w:val="ConsPlusNormal"/>
              <w:ind w:firstLine="525"/>
              <w:jc w:val="both"/>
            </w:pPr>
            <w:r>
              <w:t xml:space="preserve">Перенесены на 12 месяцев сроки уплаты взносов за </w:t>
            </w:r>
            <w:hyperlink r:id="rId5" w:history="1">
              <w:r>
                <w:rPr>
                  <w:color w:val="0000FF"/>
                </w:rPr>
                <w:t>апрель - июнь</w:t>
              </w:r>
            </w:hyperlink>
            <w:r>
              <w:t xml:space="preserve"> 2022 г. - организациям и ИП из </w:t>
            </w:r>
            <w:hyperlink r:id="rId6" w:history="1">
              <w:r>
                <w:rPr>
                  <w:color w:val="0000FF"/>
                </w:rPr>
                <w:t>Перечня 1</w:t>
              </w:r>
            </w:hyperlink>
            <w:r>
              <w:t xml:space="preserve">, за </w:t>
            </w:r>
            <w:hyperlink r:id="rId7" w:history="1">
              <w:r>
                <w:rPr>
                  <w:color w:val="0000FF"/>
                </w:rPr>
                <w:t>июль - сентябрь</w:t>
              </w:r>
            </w:hyperlink>
            <w:r>
              <w:t xml:space="preserve"> 2022 г. - из </w:t>
            </w:r>
            <w:hyperlink r:id="rId8" w:history="1">
              <w:r>
                <w:rPr>
                  <w:color w:val="0000FF"/>
                </w:rPr>
                <w:t>Перечня 2</w:t>
              </w:r>
            </w:hyperlink>
            <w:r>
              <w:t xml:space="preserve">, </w:t>
            </w:r>
            <w:hyperlink r:id="rId9" w:history="1">
              <w:proofErr w:type="spellStart"/>
              <w:r>
                <w:rPr>
                  <w:color w:val="0000FF"/>
                </w:rPr>
                <w:t>допвзноса</w:t>
              </w:r>
              <w:proofErr w:type="spellEnd"/>
              <w:r>
                <w:rPr>
                  <w:color w:val="0000FF"/>
                </w:rPr>
                <w:t xml:space="preserve"> за 2021 г.</w:t>
              </w:r>
            </w:hyperlink>
            <w:r>
              <w:t xml:space="preserve"> - ИП из Перечня 1. </w:t>
            </w:r>
            <w:r w:rsidRPr="002E2830">
              <w:rPr>
                <w:b/>
                <w:u w:val="single"/>
              </w:rPr>
              <w:t xml:space="preserve">Отсрочка не применяется по взносам на травматизм </w:t>
            </w:r>
            <w:r w:rsidRPr="002E2830">
              <w:rPr>
                <w:b/>
              </w:rPr>
              <w:t xml:space="preserve">и не распространяется на </w:t>
            </w:r>
            <w:hyperlink r:id="rId10" w:history="1">
              <w:r w:rsidRPr="002E2830">
                <w:rPr>
                  <w:b/>
                  <w:color w:val="0000FF"/>
                </w:rPr>
                <w:t>госпредприятия</w:t>
              </w:r>
            </w:hyperlink>
            <w:r w:rsidRPr="002E2830">
              <w:rPr>
                <w:b/>
              </w:rPr>
              <w:t>.</w:t>
            </w:r>
          </w:p>
        </w:tc>
      </w:tr>
    </w:tbl>
    <w:p w:rsidR="002E2830" w:rsidRPr="002E2830" w:rsidRDefault="00915E86" w:rsidP="002E2830">
      <w:pPr>
        <w:pStyle w:val="ConsPlusNormal"/>
        <w:ind w:firstLine="567"/>
        <w:rPr>
          <w:sz w:val="18"/>
          <w:szCs w:val="18"/>
        </w:rPr>
      </w:pPr>
      <w:r w:rsidRPr="00E5135E">
        <w:rPr>
          <w:b/>
        </w:rPr>
        <w:t>Источник:</w:t>
      </w:r>
      <w:r w:rsidRPr="00E5135E">
        <w:t xml:space="preserve"> </w:t>
      </w:r>
      <w:hyperlink r:id="rId11" w:history="1">
        <w:r w:rsidR="002E2830" w:rsidRPr="002E2830">
          <w:rPr>
            <w:i/>
            <w:color w:val="0000FF"/>
            <w:sz w:val="18"/>
            <w:szCs w:val="18"/>
          </w:rPr>
          <w:br/>
          <w:t>{Типовая ситуация: Налоги-2022: главные изменения (Издательство "Главная книга", 2022) {</w:t>
        </w:r>
        <w:proofErr w:type="spellStart"/>
        <w:r w:rsidR="002E2830" w:rsidRPr="002E2830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="002E2830" w:rsidRPr="002E2830">
          <w:rPr>
            <w:i/>
            <w:color w:val="0000FF"/>
            <w:sz w:val="18"/>
            <w:szCs w:val="18"/>
          </w:rPr>
          <w:t>}}</w:t>
        </w:r>
      </w:hyperlink>
      <w:r w:rsidR="002E2830" w:rsidRPr="002E2830">
        <w:rPr>
          <w:sz w:val="18"/>
          <w:szCs w:val="18"/>
        </w:rPr>
        <w:br/>
      </w:r>
    </w:p>
    <w:p w:rsidR="00915E86" w:rsidRDefault="00915E86" w:rsidP="00915E86">
      <w:pPr>
        <w:pStyle w:val="ConsPlusNormal"/>
        <w:ind w:firstLine="567"/>
        <w:rPr>
          <w:b/>
        </w:rPr>
      </w:pPr>
      <w:r>
        <w:rPr>
          <w:b/>
        </w:rPr>
        <w:t>Д</w:t>
      </w:r>
      <w:r w:rsidRPr="00C8433D">
        <w:rPr>
          <w:b/>
        </w:rPr>
        <w:t xml:space="preserve">ля </w:t>
      </w:r>
      <w:proofErr w:type="gramStart"/>
      <w:r w:rsidRPr="00C8433D">
        <w:rPr>
          <w:b/>
        </w:rPr>
        <w:t>поиска  информации</w:t>
      </w:r>
      <w:proofErr w:type="gramEnd"/>
      <w:r w:rsidRPr="00C8433D">
        <w:rPr>
          <w:b/>
        </w:rPr>
        <w:t xml:space="preserve"> по вопросу использовались ключевые слова в строке «быстрый поиск»:</w:t>
      </w:r>
    </w:p>
    <w:p w:rsidR="00915E86" w:rsidRDefault="00915E86" w:rsidP="00915E86">
      <w:pPr>
        <w:spacing w:after="0" w:line="220" w:lineRule="atLeast"/>
        <w:ind w:firstLine="567"/>
        <w:rPr>
          <w:b/>
        </w:rPr>
      </w:pPr>
    </w:p>
    <w:p w:rsidR="00915E86" w:rsidRDefault="00915E86" w:rsidP="002E2830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>
        <w:rPr>
          <w:rFonts w:ascii="Times New Roman" w:hAnsi="Times New Roman"/>
          <w:b/>
          <w:color w:val="FF0000"/>
          <w:szCs w:val="22"/>
        </w:rPr>
        <w:t>«</w:t>
      </w:r>
      <w:r w:rsidR="002E2830">
        <w:rPr>
          <w:rFonts w:ascii="Times New Roman" w:hAnsi="Times New Roman"/>
          <w:b/>
          <w:color w:val="FF0000"/>
          <w:szCs w:val="22"/>
        </w:rPr>
        <w:t xml:space="preserve">Перенос сроков уплаты страховых </w:t>
      </w:r>
      <w:proofErr w:type="spellStart"/>
      <w:r w:rsidR="002E2830">
        <w:rPr>
          <w:rFonts w:ascii="Times New Roman" w:hAnsi="Times New Roman"/>
          <w:b/>
          <w:color w:val="FF0000"/>
          <w:szCs w:val="22"/>
        </w:rPr>
        <w:t>всносов</w:t>
      </w:r>
      <w:proofErr w:type="spellEnd"/>
      <w:r>
        <w:rPr>
          <w:rFonts w:ascii="Times New Roman" w:hAnsi="Times New Roman"/>
          <w:b/>
          <w:color w:val="FF0000"/>
          <w:szCs w:val="22"/>
        </w:rPr>
        <w:t>»</w:t>
      </w:r>
    </w:p>
    <w:p w:rsidR="00915E86" w:rsidRDefault="00915E86" w:rsidP="00915E86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Cs w:val="22"/>
        </w:rPr>
      </w:pPr>
    </w:p>
    <w:p w:rsidR="00915E86" w:rsidRPr="00753131" w:rsidRDefault="00915E86" w:rsidP="00753131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</w:rPr>
      </w:pPr>
      <w:r w:rsidRPr="007A1D7A">
        <w:rPr>
          <w:b/>
        </w:rPr>
        <w:t xml:space="preserve">Поиск информации </w:t>
      </w:r>
      <w:r w:rsidRPr="009853D6">
        <w:rPr>
          <w:b/>
        </w:rPr>
        <w:t xml:space="preserve">осуществлялся  при  </w:t>
      </w:r>
      <w:r w:rsidRPr="00B753B9">
        <w:rPr>
          <w:b/>
        </w:rPr>
        <w:t xml:space="preserve">помощи  </w:t>
      </w:r>
      <w:r w:rsidRPr="00E83A15">
        <w:rPr>
          <w:b/>
        </w:rPr>
        <w:t xml:space="preserve">«i» к  </w:t>
      </w:r>
      <w:hyperlink r:id="rId12" w:history="1">
        <w:r w:rsidR="00753131" w:rsidRPr="00753131">
          <w:rPr>
            <w:rFonts w:ascii="Calibri" w:hAnsi="Calibri" w:cs="Calibri"/>
            <w:b/>
            <w:color w:val="0000FF"/>
          </w:rPr>
          <w:t>п. п. 1</w:t>
        </w:r>
      </w:hyperlink>
      <w:r w:rsidR="00753131" w:rsidRPr="00753131">
        <w:rPr>
          <w:rFonts w:ascii="Calibri" w:hAnsi="Calibri" w:cs="Calibri"/>
          <w:b/>
        </w:rPr>
        <w:t xml:space="preserve">, </w:t>
      </w:r>
      <w:hyperlink r:id="rId13" w:history="1">
        <w:r w:rsidR="00753131" w:rsidRPr="00753131">
          <w:rPr>
            <w:rFonts w:ascii="Calibri" w:hAnsi="Calibri" w:cs="Calibri"/>
            <w:b/>
            <w:color w:val="0000FF"/>
          </w:rPr>
          <w:t>2</w:t>
        </w:r>
      </w:hyperlink>
      <w:r w:rsidR="00753131" w:rsidRPr="00753131">
        <w:rPr>
          <w:rFonts w:ascii="Calibri" w:hAnsi="Calibri" w:cs="Calibri"/>
          <w:b/>
        </w:rPr>
        <w:t xml:space="preserve"> Постановления Правительства РФ от 29.04.2022 N 776</w:t>
      </w:r>
      <w:r w:rsidR="00753131">
        <w:rPr>
          <w:rFonts w:ascii="Calibri" w:hAnsi="Calibri" w:cs="Calibri"/>
          <w:b/>
        </w:rPr>
        <w:t xml:space="preserve"> </w:t>
      </w:r>
      <w:r w:rsidRPr="00753131">
        <w:rPr>
          <w:b/>
        </w:rPr>
        <w:t>с последующим уточнением.</w:t>
      </w:r>
    </w:p>
    <w:p w:rsidR="00915E86" w:rsidRDefault="00753131" w:rsidP="00915E86">
      <w:pPr>
        <w:pStyle w:val="ConsPlusNormal"/>
        <w:ind w:firstLine="567"/>
        <w:jc w:val="center"/>
        <w:rPr>
          <w:b/>
        </w:rPr>
      </w:pPr>
      <w:bookmarkStart w:id="0" w:name="_GoBack"/>
      <w:bookmarkEnd w:id="0"/>
      <w:r w:rsidRPr="00A70DA6">
        <w:rPr>
          <w:b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4C64" wp14:editId="177C504D">
                <wp:simplePos x="0" y="0"/>
                <wp:positionH relativeFrom="column">
                  <wp:posOffset>1638808</wp:posOffset>
                </wp:positionH>
                <wp:positionV relativeFrom="paragraph">
                  <wp:posOffset>375819</wp:posOffset>
                </wp:positionV>
                <wp:extent cx="409575" cy="152400"/>
                <wp:effectExtent l="22860" t="19685" r="15240" b="18415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2400"/>
                        </a:xfrm>
                        <a:prstGeom prst="notchedRightArrow">
                          <a:avLst>
                            <a:gd name="adj1" fmla="val 50000"/>
                            <a:gd name="adj2" fmla="val 6718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E1EF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2" o:spid="_x0000_s1026" type="#_x0000_t94" style="position:absolute;margin-left:129.05pt;margin-top:29.6pt;width:32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" fillcolor="#00b050"/>
            </w:pict>
          </mc:Fallback>
        </mc:AlternateContent>
      </w:r>
      <w:r>
        <w:rPr>
          <w:noProof/>
        </w:rPr>
        <w:drawing>
          <wp:inline distT="0" distB="0" distL="0" distR="0" wp14:anchorId="070375C5" wp14:editId="34515708">
            <wp:extent cx="3792017" cy="21330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6720" cy="21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E86">
        <w:rPr>
          <w:noProof/>
        </w:rPr>
        <w:t xml:space="preserve">                 </w:t>
      </w:r>
    </w:p>
    <w:p w:rsidR="00915E86" w:rsidRPr="00D60174" w:rsidRDefault="00915E86" w:rsidP="00915E8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/>
        <w:ind w:right="-28" w:firstLine="540"/>
        <w:jc w:val="both"/>
        <w:outlineLvl w:val="0"/>
        <w:rPr>
          <w:b/>
          <w:sz w:val="2"/>
          <w:szCs w:val="2"/>
        </w:rPr>
      </w:pPr>
    </w:p>
    <w:p w:rsidR="00915E86" w:rsidRDefault="00915E86" w:rsidP="00915E86">
      <w:pPr>
        <w:pStyle w:val="ConsPlusNormal"/>
        <w:jc w:val="center"/>
        <w:rPr>
          <w:b/>
          <w:sz w:val="38"/>
        </w:rPr>
      </w:pPr>
      <w:r w:rsidRPr="006A3EFC">
        <w:rPr>
          <w:b/>
          <w:sz w:val="38"/>
        </w:rPr>
        <w:t>Полезные документы:</w:t>
      </w:r>
    </w:p>
    <w:p w:rsidR="00915E86" w:rsidRDefault="00915E86" w:rsidP="00915E86">
      <w:pPr>
        <w:spacing w:after="0" w:line="220" w:lineRule="atLeast"/>
      </w:pPr>
      <w:hyperlink r:id="rId15" w:history="1">
        <w:r>
          <w:rPr>
            <w:rFonts w:ascii="Calibri" w:hAnsi="Calibri" w:cs="Calibri"/>
            <w:i/>
            <w:color w:val="0000FF"/>
          </w:rPr>
          <w:br/>
          <w:t>Постановление Правительства РФ от 29.04.2022 N 776 "Об изменении сроков уплаты страховых взносов в 2022 году"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915E86" w:rsidRDefault="00915E86" w:rsidP="00915E86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915E86" w:rsidRDefault="00915E86" w:rsidP="00915E86">
      <w:pPr>
        <w:spacing w:after="0" w:line="220" w:lineRule="atLeast"/>
        <w:jc w:val="center"/>
      </w:pPr>
    </w:p>
    <w:p w:rsidR="00915E86" w:rsidRDefault="00915E86" w:rsidP="00915E86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915E86" w:rsidRDefault="00915E86" w:rsidP="00915E86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от 29 апреля 2022 г. N 776</w:t>
      </w:r>
    </w:p>
    <w:p w:rsidR="00915E86" w:rsidRDefault="00915E86" w:rsidP="00915E86">
      <w:pPr>
        <w:spacing w:after="0" w:line="220" w:lineRule="atLeast"/>
        <w:jc w:val="center"/>
      </w:pPr>
    </w:p>
    <w:p w:rsidR="00915E86" w:rsidRDefault="00915E86" w:rsidP="00915E86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ОБ ИЗМЕНЕНИИ СРОКОВ УПЛАТЫ СТРАХОВЫХ ВЗНОСОВ В 2022 ГОДУ</w:t>
      </w:r>
    </w:p>
    <w:p w:rsidR="00915E86" w:rsidRDefault="00915E86" w:rsidP="00915E86">
      <w:pPr>
        <w:spacing w:after="0" w:line="220" w:lineRule="atLeast"/>
        <w:jc w:val="both"/>
      </w:pPr>
    </w:p>
    <w:p w:rsidR="00915E86" w:rsidRDefault="00915E86" w:rsidP="00915E86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15E86" w:rsidRDefault="00915E86" w:rsidP="00915E86">
      <w:pPr>
        <w:spacing w:after="0" w:line="220" w:lineRule="atLeast"/>
        <w:ind w:firstLine="540"/>
        <w:jc w:val="both"/>
      </w:pPr>
      <w:bookmarkStart w:id="1" w:name="P9"/>
      <w:bookmarkEnd w:id="1"/>
      <w:r>
        <w:rPr>
          <w:rFonts w:ascii="Calibri" w:hAnsi="Calibri" w:cs="Calibri"/>
        </w:rPr>
        <w:t xml:space="preserve">1.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r:id="rId1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1, </w:t>
      </w:r>
      <w:r w:rsidRPr="00915E86">
        <w:rPr>
          <w:rFonts w:ascii="Calibri" w:hAnsi="Calibri" w:cs="Calibri"/>
          <w:b/>
        </w:rPr>
        <w:t>установленные Налоговым кодексом Российской Федерации</w:t>
      </w:r>
      <w:r>
        <w:rPr>
          <w:rFonts w:ascii="Calibri" w:hAnsi="Calibri" w:cs="Calibri"/>
        </w:rPr>
        <w:t xml:space="preserve"> сроки уплаты страховых взносов, исчисленных с выплат и иных вознаграждений в пользу физических лиц за апрель - июнь 2022 г., а также исчисленных индивидуальными предпринимателями за 2021 год с суммы дохода, превышающей 300000 рублей.</w:t>
      </w:r>
    </w:p>
    <w:p w:rsidR="00915E86" w:rsidRDefault="00915E86" w:rsidP="00915E86">
      <w:pPr>
        <w:spacing w:after="0" w:line="220" w:lineRule="atLeast"/>
        <w:ind w:firstLine="540"/>
        <w:jc w:val="both"/>
      </w:pPr>
      <w:bookmarkStart w:id="2" w:name="P10"/>
      <w:bookmarkEnd w:id="2"/>
      <w:r>
        <w:rPr>
          <w:rFonts w:ascii="Calibri" w:hAnsi="Calibri" w:cs="Calibri"/>
        </w:rPr>
        <w:t xml:space="preserve">2. Продлить на 12 месяцев организациям и индивидуальным предпринимателям, осуществляющим отдельные виды экономической деятельности по </w:t>
      </w:r>
      <w:hyperlink r:id="rId17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2, </w:t>
      </w:r>
      <w:r w:rsidRPr="002E2830">
        <w:rPr>
          <w:rFonts w:ascii="Calibri" w:hAnsi="Calibri" w:cs="Calibri"/>
          <w:b/>
        </w:rPr>
        <w:t xml:space="preserve">установленные Налоговым </w:t>
      </w:r>
      <w:hyperlink r:id="rId18" w:history="1">
        <w:r w:rsidRPr="002E2830">
          <w:rPr>
            <w:rFonts w:ascii="Calibri" w:hAnsi="Calibri" w:cs="Calibri"/>
            <w:b/>
            <w:color w:val="0000FF"/>
          </w:rPr>
          <w:t>кодексом</w:t>
        </w:r>
      </w:hyperlink>
      <w:r w:rsidRPr="002E2830">
        <w:rPr>
          <w:rFonts w:ascii="Calibri" w:hAnsi="Calibri" w:cs="Calibri"/>
          <w:b/>
        </w:rPr>
        <w:t xml:space="preserve"> Российской Федерации</w:t>
      </w:r>
      <w:r>
        <w:rPr>
          <w:rFonts w:ascii="Calibri" w:hAnsi="Calibri" w:cs="Calibri"/>
        </w:rPr>
        <w:t xml:space="preserve"> сроки уплаты страховых взносов, исчисленных с выплат и иных вознаграждений в пользу физических лиц за июль - сентябрь 2022 г.</w:t>
      </w:r>
    </w:p>
    <w:p w:rsidR="00915E86" w:rsidRDefault="00915E86" w:rsidP="00915E86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 Продление сроков уплаты страховых взносов, указанных в </w:t>
      </w:r>
      <w:hyperlink w:anchor="P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не распространяется на организации, имеющие по состоянию на 1 апреля 2022 г. организационно-правовую форму по </w:t>
      </w:r>
      <w:hyperlink r:id="rId1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3.</w:t>
      </w:r>
    </w:p>
    <w:p w:rsidR="00915E86" w:rsidRDefault="00915E86" w:rsidP="00915E86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4. В целях </w:t>
      </w:r>
      <w:hyperlink w:anchor="P9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w:anchor="P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 осуществление организациями и индивидуальными предпринимателями деятельности в соответствующей сфере деятельности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2022 г.</w:t>
      </w:r>
    </w:p>
    <w:p w:rsidR="00915E86" w:rsidRDefault="00915E86" w:rsidP="00915E86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915E86" w:rsidRDefault="00915E86" w:rsidP="00915E86">
      <w:pPr>
        <w:spacing w:after="0" w:line="220" w:lineRule="atLeast"/>
        <w:jc w:val="both"/>
      </w:pPr>
    </w:p>
    <w:p w:rsidR="00915E86" w:rsidRDefault="00915E86" w:rsidP="00915E86">
      <w:pPr>
        <w:spacing w:after="0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915E86" w:rsidRDefault="00915E86" w:rsidP="00915E86">
      <w:pPr>
        <w:spacing w:after="0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15E86" w:rsidRDefault="00915E86" w:rsidP="00915E86">
      <w:pPr>
        <w:spacing w:after="0" w:line="220" w:lineRule="atLeast"/>
        <w:jc w:val="right"/>
      </w:pPr>
      <w:r>
        <w:rPr>
          <w:rFonts w:ascii="Calibri" w:hAnsi="Calibri" w:cs="Calibri"/>
        </w:rPr>
        <w:t>М.МИШУСТИН</w:t>
      </w:r>
    </w:p>
    <w:p w:rsidR="00915E86" w:rsidRDefault="00915E86" w:rsidP="00915E86">
      <w:pPr>
        <w:spacing w:after="0" w:line="220" w:lineRule="atLeast"/>
        <w:jc w:val="both"/>
      </w:pPr>
    </w:p>
    <w:p w:rsidR="00915E86" w:rsidRPr="00915E86" w:rsidRDefault="00915E86" w:rsidP="00915E86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915E86" w:rsidRDefault="00915E86" w:rsidP="00915E86">
      <w:pPr>
        <w:pStyle w:val="ConsPlusNormal"/>
      </w:pPr>
      <w:hyperlink r:id="rId20" w:history="1">
        <w:r>
          <w:rPr>
            <w:i/>
            <w:color w:val="0000FF"/>
          </w:rPr>
          <w:br/>
          <w:t>{Типовая ситуация: Налоги-2022: главные изменения (Издательство "Главная книга", 2022)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054"/>
        <w:gridCol w:w="113"/>
      </w:tblGrid>
      <w:tr w:rsidR="00915E86" w:rsidTr="00EF7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E86" w:rsidRDefault="00915E86" w:rsidP="00915E86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E86" w:rsidRDefault="00915E86" w:rsidP="00915E86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E86" w:rsidRDefault="00915E86" w:rsidP="00915E86">
            <w:pPr>
              <w:pStyle w:val="ConsPlusNormal"/>
              <w:jc w:val="right"/>
            </w:pPr>
            <w:r>
              <w:rPr>
                <w:color w:val="392C69"/>
              </w:rPr>
              <w:t xml:space="preserve">Издательство </w:t>
            </w:r>
            <w:hyperlink r:id="rId21" w:history="1">
              <w:r>
                <w:rPr>
                  <w:color w:val="0000FF"/>
                </w:rPr>
                <w:t>"Главная книга"</w:t>
              </w:r>
            </w:hyperlink>
            <w:r>
              <w:rPr>
                <w:color w:val="392C69"/>
              </w:rPr>
              <w:t xml:space="preserve"> | </w:t>
            </w:r>
            <w:r>
              <w:rPr>
                <w:b/>
                <w:color w:val="392C69"/>
              </w:rPr>
              <w:t>Актуально на 18.05.2022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E86" w:rsidRDefault="00915E86" w:rsidP="00915E86">
            <w:pPr>
              <w:spacing w:after="0" w:line="0" w:lineRule="atLeast"/>
            </w:pPr>
          </w:p>
        </w:tc>
      </w:tr>
    </w:tbl>
    <w:p w:rsidR="00915E86" w:rsidRDefault="00915E86" w:rsidP="00915E86">
      <w:pPr>
        <w:pStyle w:val="ConsPlusNormal"/>
      </w:pPr>
      <w:r>
        <w:rPr>
          <w:b/>
          <w:sz w:val="38"/>
        </w:rPr>
        <w:t>Налоги-2022: главные изменения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Антикризисные налоговые меры</w:t>
      </w:r>
    </w:p>
    <w:p w:rsidR="00915E86" w:rsidRDefault="00915E86" w:rsidP="00915E86">
      <w:pPr>
        <w:pStyle w:val="ConsPlusNormal"/>
        <w:jc w:val="both"/>
      </w:pPr>
      <w:r>
        <w:t xml:space="preserve">Перенесены на 12 месяцев сроки уплаты взносов за </w:t>
      </w:r>
      <w:hyperlink r:id="rId22" w:history="1">
        <w:r>
          <w:rPr>
            <w:color w:val="0000FF"/>
          </w:rPr>
          <w:t>апрель - июнь</w:t>
        </w:r>
      </w:hyperlink>
      <w:r>
        <w:t xml:space="preserve"> 2022 г. - организациям и ИП из </w:t>
      </w:r>
      <w:hyperlink r:id="rId23" w:history="1">
        <w:r>
          <w:rPr>
            <w:color w:val="0000FF"/>
          </w:rPr>
          <w:t>Перечня 1</w:t>
        </w:r>
      </w:hyperlink>
      <w:r>
        <w:t xml:space="preserve">, за </w:t>
      </w:r>
      <w:hyperlink r:id="rId24" w:history="1">
        <w:r>
          <w:rPr>
            <w:color w:val="0000FF"/>
          </w:rPr>
          <w:t>июль - сентябрь</w:t>
        </w:r>
      </w:hyperlink>
      <w:r>
        <w:t xml:space="preserve"> 2022 г. - из </w:t>
      </w:r>
      <w:hyperlink r:id="rId25" w:history="1">
        <w:r>
          <w:rPr>
            <w:color w:val="0000FF"/>
          </w:rPr>
          <w:t>Перечня 2</w:t>
        </w:r>
      </w:hyperlink>
      <w:r>
        <w:t xml:space="preserve">, </w:t>
      </w:r>
      <w:hyperlink r:id="rId26" w:history="1">
        <w:proofErr w:type="spellStart"/>
        <w:r>
          <w:rPr>
            <w:color w:val="0000FF"/>
          </w:rPr>
          <w:t>допвзноса</w:t>
        </w:r>
        <w:proofErr w:type="spellEnd"/>
        <w:r>
          <w:rPr>
            <w:color w:val="0000FF"/>
          </w:rPr>
          <w:t xml:space="preserve"> за 2021 г.</w:t>
        </w:r>
      </w:hyperlink>
      <w:r>
        <w:t xml:space="preserve"> - ИП из Перечня 1. Отсрочка не применяется по взносам на травматизм и не распространяется на </w:t>
      </w:r>
      <w:hyperlink r:id="rId27" w:history="1">
        <w:r>
          <w:rPr>
            <w:color w:val="0000FF"/>
          </w:rPr>
          <w:t>госпредприятия</w:t>
        </w:r>
      </w:hyperlink>
      <w:r>
        <w:t>.</w:t>
      </w:r>
    </w:p>
    <w:p w:rsidR="00915E86" w:rsidRDefault="00915E86" w:rsidP="00915E86">
      <w:pPr>
        <w:pStyle w:val="ConsPlusNormal"/>
        <w:jc w:val="both"/>
      </w:pPr>
      <w:r>
        <w:t xml:space="preserve">Перенесены сроки уплаты: 3-го платежа по налогу на прибыль за 1 кв. 2022 г. - на </w:t>
      </w:r>
      <w:hyperlink r:id="rId28" w:history="1">
        <w:r>
          <w:rPr>
            <w:color w:val="0000FF"/>
          </w:rPr>
          <w:t>28.04.2022</w:t>
        </w:r>
      </w:hyperlink>
      <w:r>
        <w:t xml:space="preserve">, налога при УСН за 2021 г. и 1 кв. 2022 г. для отдельных отраслей - на </w:t>
      </w:r>
      <w:hyperlink r:id="rId29" w:history="1">
        <w:r>
          <w:rPr>
            <w:color w:val="0000FF"/>
          </w:rPr>
          <w:t>полгода с рассрочкой</w:t>
        </w:r>
      </w:hyperlink>
      <w:r>
        <w:t xml:space="preserve">. Субъекты РФ в 2022 г. </w:t>
      </w:r>
      <w:hyperlink r:id="rId30" w:history="1">
        <w:r>
          <w:rPr>
            <w:color w:val="0000FF"/>
          </w:rPr>
          <w:t>могут переносить</w:t>
        </w:r>
      </w:hyperlink>
      <w:r>
        <w:t xml:space="preserve"> сроки уплаты налога при УСН, налога на имущество, транспортного и земельного налогов, оплаты патента на ПСН.</w:t>
      </w:r>
    </w:p>
    <w:p w:rsidR="00915E86" w:rsidRDefault="00915E86" w:rsidP="00915E86">
      <w:pPr>
        <w:pStyle w:val="ConsPlusNormal"/>
        <w:jc w:val="both"/>
      </w:pPr>
      <w:r>
        <w:t>Проверить, есть ли у вас право на перенос платежей по взносам или УСН, можно на сайте ФНС.</w:t>
      </w:r>
    </w:p>
    <w:p w:rsidR="00915E86" w:rsidRDefault="00915E86" w:rsidP="00915E86">
      <w:pPr>
        <w:pStyle w:val="ConsPlusNormal"/>
        <w:jc w:val="both"/>
      </w:pPr>
      <w:r>
        <w:t xml:space="preserve">Большинство экспортеров обязано продавать </w:t>
      </w:r>
      <w:hyperlink r:id="rId31" w:history="1">
        <w:r>
          <w:rPr>
            <w:color w:val="0000FF"/>
          </w:rPr>
          <w:t>80%</w:t>
        </w:r>
      </w:hyperlink>
      <w:r>
        <w:t xml:space="preserve"> валютной выручки. Выручку, зачисленную с 19.04.2022, надо продать в течение </w:t>
      </w:r>
      <w:hyperlink r:id="rId32" w:history="1">
        <w:r>
          <w:rPr>
            <w:color w:val="0000FF"/>
          </w:rPr>
          <w:t>60 рабочих дней</w:t>
        </w:r>
      </w:hyperlink>
      <w:r>
        <w:t xml:space="preserve"> со дня поступления на счет. С разрешения ЦБ можно не продавать валюту, направляемую на погашение валютного кредита в российском банке.</w:t>
      </w:r>
    </w:p>
    <w:p w:rsidR="00915E86" w:rsidRDefault="00915E86" w:rsidP="00915E86">
      <w:pPr>
        <w:pStyle w:val="ConsPlusNormal"/>
        <w:jc w:val="both"/>
      </w:pPr>
      <w:r>
        <w:t xml:space="preserve">Пени по налогам и взносам начисляют по </w:t>
      </w:r>
      <w:hyperlink r:id="rId33" w:history="1">
        <w:r>
          <w:rPr>
            <w:color w:val="0000FF"/>
          </w:rPr>
          <w:t>1/300 ставки ЦБ</w:t>
        </w:r>
      </w:hyperlink>
      <w:r>
        <w:t xml:space="preserve"> вне зависимости от периода просрочки.</w:t>
      </w:r>
    </w:p>
    <w:p w:rsidR="00915E86" w:rsidRDefault="00915E86" w:rsidP="00915E86">
      <w:pPr>
        <w:pStyle w:val="ConsPlusNormal"/>
        <w:jc w:val="both"/>
      </w:pPr>
      <w:r>
        <w:t xml:space="preserve">Возмещать НДС большинство организаций может в </w:t>
      </w:r>
      <w:hyperlink r:id="rId34" w:history="1">
        <w:r>
          <w:rPr>
            <w:color w:val="0000FF"/>
          </w:rPr>
          <w:t>заявительном порядке</w:t>
        </w:r>
      </w:hyperlink>
      <w:r>
        <w:t>.</w:t>
      </w:r>
    </w:p>
    <w:p w:rsidR="00915E86" w:rsidRDefault="00915E86" w:rsidP="00915E86">
      <w:pPr>
        <w:pStyle w:val="ConsPlusNormal"/>
        <w:jc w:val="both"/>
      </w:pPr>
      <w:r>
        <w:t xml:space="preserve">Перейти на уплату авансов </w:t>
      </w:r>
      <w:hyperlink r:id="rId35" w:history="1">
        <w:r>
          <w:rPr>
            <w:color w:val="0000FF"/>
          </w:rPr>
          <w:t>по фактической прибыли</w:t>
        </w:r>
      </w:hyperlink>
      <w:r>
        <w:t xml:space="preserve"> можно в течение года.</w:t>
      </w:r>
    </w:p>
    <w:p w:rsidR="00915E86" w:rsidRDefault="00915E86" w:rsidP="00915E86">
      <w:pPr>
        <w:pStyle w:val="ConsPlusNormal"/>
        <w:jc w:val="both"/>
      </w:pPr>
      <w:r>
        <w:t xml:space="preserve">Не надо платить НДФЛ с </w:t>
      </w:r>
      <w:hyperlink r:id="rId36" w:history="1">
        <w:r>
          <w:rPr>
            <w:color w:val="0000FF"/>
          </w:rPr>
          <w:t>материальной выгоды</w:t>
        </w:r>
      </w:hyperlink>
      <w:r>
        <w:t xml:space="preserve"> по займам, полученной за 2021 - 2023 гг.</w:t>
      </w:r>
    </w:p>
    <w:p w:rsidR="00915E86" w:rsidRDefault="00915E86" w:rsidP="00915E86">
      <w:pPr>
        <w:pStyle w:val="ConsPlusNormal"/>
        <w:jc w:val="both"/>
      </w:pPr>
      <w:r>
        <w:t xml:space="preserve">Лимит </w:t>
      </w:r>
      <w:hyperlink r:id="rId37" w:history="1">
        <w:r>
          <w:rPr>
            <w:color w:val="0000FF"/>
          </w:rPr>
          <w:t>контролируемых сделок</w:t>
        </w:r>
      </w:hyperlink>
      <w:r>
        <w:t xml:space="preserve"> увеличен до 120 млн руб.</w:t>
      </w:r>
    </w:p>
    <w:p w:rsidR="00915E86" w:rsidRDefault="00915E86" w:rsidP="00915E86">
      <w:pPr>
        <w:pStyle w:val="ConsPlusNormal"/>
        <w:jc w:val="both"/>
      </w:pPr>
      <w:r>
        <w:t xml:space="preserve">Установлены новые льготы для IT-компаний - </w:t>
      </w:r>
      <w:hyperlink r:id="rId38" w:history="1">
        <w:r>
          <w:rPr>
            <w:color w:val="0000FF"/>
          </w:rPr>
          <w:t>освобождение</w:t>
        </w:r>
      </w:hyperlink>
      <w:r>
        <w:t xml:space="preserve"> от налога на прибыль с 2022 г. и </w:t>
      </w:r>
      <w:hyperlink r:id="rId39" w:history="1">
        <w:r>
          <w:rPr>
            <w:color w:val="0000FF"/>
          </w:rPr>
          <w:t>запрет</w:t>
        </w:r>
      </w:hyperlink>
      <w:r>
        <w:t xml:space="preserve"> выездных проверок до 03.03.2025.</w:t>
      </w:r>
    </w:p>
    <w:p w:rsidR="00915E86" w:rsidRDefault="00915E86" w:rsidP="00915E86">
      <w:pPr>
        <w:pStyle w:val="ConsPlusNormal"/>
        <w:jc w:val="both"/>
      </w:pPr>
      <w:r>
        <w:t>С 01.07.2022 услуги гостиниц по предоставлению мест для временного проживания облагаются НДС по ставке 0% (</w:t>
      </w:r>
      <w:hyperlink r:id="rId40" w:history="1">
        <w:r>
          <w:rPr>
            <w:color w:val="0000FF"/>
          </w:rPr>
          <w:t>ст. 164</w:t>
        </w:r>
      </w:hyperlink>
      <w:r>
        <w:t xml:space="preserve"> НК РФ, </w:t>
      </w:r>
      <w:hyperlink r:id="rId41" w:history="1">
        <w:r>
          <w:rPr>
            <w:color w:val="0000FF"/>
          </w:rPr>
          <w:t>ст. 5</w:t>
        </w:r>
      </w:hyperlink>
      <w:r>
        <w:t xml:space="preserve"> Закона N 67-ФЗ).</w:t>
      </w:r>
    </w:p>
    <w:p w:rsidR="00915E86" w:rsidRDefault="00915E86" w:rsidP="00915E86">
      <w:pPr>
        <w:pStyle w:val="ConsPlusNormal"/>
        <w:jc w:val="both"/>
      </w:pPr>
      <w:hyperlink r:id="rId42" w:history="1">
        <w:r>
          <w:rPr>
            <w:color w:val="0000FF"/>
          </w:rPr>
          <w:t>Повышающий коэффициент</w:t>
        </w:r>
      </w:hyperlink>
      <w:r>
        <w:t xml:space="preserve"> по транспортному налогу применяют только к автомобилям стоимостью от 10 млн руб.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НДС</w:t>
      </w:r>
    </w:p>
    <w:p w:rsidR="00915E86" w:rsidRDefault="00915E86" w:rsidP="00915E86">
      <w:pPr>
        <w:pStyle w:val="ConsPlusNormal"/>
        <w:jc w:val="both"/>
      </w:pPr>
      <w:r>
        <w:t xml:space="preserve">С 01.01.2022 организации </w:t>
      </w:r>
      <w:hyperlink r:id="rId43" w:history="1">
        <w:r>
          <w:rPr>
            <w:color w:val="0000FF"/>
          </w:rPr>
          <w:t>общепита</w:t>
        </w:r>
      </w:hyperlink>
      <w:r>
        <w:t xml:space="preserve"> с доходами за прошлый год не больше 2 млрд руб. и долей доходов от общепита не менее 70% освобождаются от НДС (</w:t>
      </w:r>
      <w:hyperlink r:id="rId44" w:history="1">
        <w:r>
          <w:rPr>
            <w:color w:val="0000FF"/>
          </w:rPr>
          <w:t>ст. 149</w:t>
        </w:r>
      </w:hyperlink>
      <w:r>
        <w:t xml:space="preserve"> НК РФ).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НДФЛ</w:t>
      </w:r>
    </w:p>
    <w:p w:rsidR="00915E86" w:rsidRDefault="00915E86" w:rsidP="00915E86">
      <w:pPr>
        <w:pStyle w:val="ConsPlusNormal"/>
        <w:jc w:val="both"/>
      </w:pPr>
      <w:r>
        <w:t>С 01.01.2022 изменился порядок предоставления имущественных и социальных вычетов работодателем. Уведомление о праве на вычет организация получит от ИФНС, а не от работника (</w:t>
      </w:r>
      <w:hyperlink r:id="rId45" w:history="1">
        <w:r>
          <w:rPr>
            <w:color w:val="0000FF"/>
          </w:rPr>
          <w:t>ст. ст. 219</w:t>
        </w:r>
      </w:hyperlink>
      <w:r>
        <w:t xml:space="preserve">, </w:t>
      </w:r>
      <w:hyperlink r:id="rId46" w:history="1">
        <w:r>
          <w:rPr>
            <w:color w:val="0000FF"/>
          </w:rPr>
          <w:t>220</w:t>
        </w:r>
      </w:hyperlink>
      <w:r>
        <w:t xml:space="preserve"> НК РФ).</w:t>
      </w:r>
    </w:p>
    <w:p w:rsidR="00915E86" w:rsidRDefault="00915E86" w:rsidP="00915E86">
      <w:pPr>
        <w:pStyle w:val="ConsPlusNormal"/>
        <w:jc w:val="both"/>
      </w:pPr>
      <w:r>
        <w:t xml:space="preserve">Начиная с доходов 2022 г. можно получить новый социальный вычет - на </w:t>
      </w:r>
      <w:hyperlink r:id="rId47" w:history="1">
        <w:r>
          <w:rPr>
            <w:color w:val="0000FF"/>
          </w:rPr>
          <w:t>фитнес</w:t>
        </w:r>
      </w:hyperlink>
      <w:r>
        <w:t>. Работодатель предоставляет его, как и другие социальные вычеты, по уведомлению ИФНС (</w:t>
      </w:r>
      <w:hyperlink r:id="rId48" w:history="1">
        <w:r>
          <w:rPr>
            <w:color w:val="0000FF"/>
          </w:rPr>
          <w:t>ст. 219</w:t>
        </w:r>
      </w:hyperlink>
      <w:r>
        <w:t xml:space="preserve"> НК РФ, </w:t>
      </w:r>
      <w:hyperlink r:id="rId49" w:history="1">
        <w:r>
          <w:rPr>
            <w:color w:val="0000FF"/>
          </w:rPr>
          <w:t>ст. 2</w:t>
        </w:r>
      </w:hyperlink>
      <w:r>
        <w:t xml:space="preserve"> Закона N 88-ФЗ).</w:t>
      </w:r>
    </w:p>
    <w:p w:rsidR="00915E86" w:rsidRDefault="00915E86" w:rsidP="00915E86">
      <w:pPr>
        <w:pStyle w:val="ConsPlusNormal"/>
        <w:jc w:val="both"/>
      </w:pPr>
      <w:r>
        <w:t xml:space="preserve">Появились </w:t>
      </w:r>
      <w:hyperlink r:id="rId50" w:history="1">
        <w:r>
          <w:rPr>
            <w:color w:val="0000FF"/>
          </w:rPr>
          <w:t>новые коды</w:t>
        </w:r>
      </w:hyperlink>
      <w:r>
        <w:t xml:space="preserve"> доходов и вычетов для справки о доходах: </w:t>
      </w:r>
      <w:hyperlink r:id="rId51" w:history="1">
        <w:r>
          <w:rPr>
            <w:color w:val="0000FF"/>
          </w:rPr>
          <w:t>2015</w:t>
        </w:r>
      </w:hyperlink>
      <w:r>
        <w:t xml:space="preserve"> </w:t>
      </w:r>
      <w:r>
        <w:rPr>
          <w:i/>
        </w:rPr>
        <w:t>-</w:t>
      </w:r>
      <w:r>
        <w:t xml:space="preserve"> сверхнормативные суточные; </w:t>
      </w:r>
      <w:hyperlink r:id="rId52" w:history="1">
        <w:r>
          <w:rPr>
            <w:color w:val="0000FF"/>
          </w:rPr>
          <w:t>1401</w:t>
        </w:r>
      </w:hyperlink>
      <w:r>
        <w:t xml:space="preserve"> - плата за аренду жилья; </w:t>
      </w:r>
      <w:hyperlink r:id="rId53" w:history="1">
        <w:r>
          <w:rPr>
            <w:color w:val="0000FF"/>
          </w:rPr>
          <w:t>1402</w:t>
        </w:r>
      </w:hyperlink>
      <w:r>
        <w:t xml:space="preserve"> - плата за аренду остальной недвижимости; </w:t>
      </w:r>
      <w:hyperlink r:id="rId54" w:history="1">
        <w:r>
          <w:rPr>
            <w:color w:val="0000FF"/>
          </w:rPr>
          <w:t>329</w:t>
        </w:r>
      </w:hyperlink>
      <w:r>
        <w:t xml:space="preserve"> </w:t>
      </w:r>
      <w:r>
        <w:rPr>
          <w:i/>
        </w:rPr>
        <w:t>-</w:t>
      </w:r>
      <w:r>
        <w:t xml:space="preserve"> вычет на фитнес.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Страховые взносы</w:t>
      </w:r>
    </w:p>
    <w:p w:rsidR="00915E86" w:rsidRDefault="00915E86" w:rsidP="00915E86">
      <w:pPr>
        <w:pStyle w:val="ConsPlusNormal"/>
        <w:jc w:val="both"/>
      </w:pPr>
      <w:r>
        <w:t xml:space="preserve">Предельная база на 2022 г. по взносам на ОПС - </w:t>
      </w:r>
      <w:hyperlink r:id="rId55" w:history="1">
        <w:r>
          <w:rPr>
            <w:color w:val="0000FF"/>
          </w:rPr>
          <w:t>1 565 000 руб.</w:t>
        </w:r>
      </w:hyperlink>
      <w:r>
        <w:t xml:space="preserve">, на </w:t>
      </w:r>
      <w:proofErr w:type="spellStart"/>
      <w:r>
        <w:t>ВНиМ</w:t>
      </w:r>
      <w:proofErr w:type="spellEnd"/>
      <w:r>
        <w:t xml:space="preserve"> - </w:t>
      </w:r>
      <w:hyperlink r:id="rId56" w:history="1">
        <w:r>
          <w:rPr>
            <w:color w:val="0000FF"/>
          </w:rPr>
          <w:t>1 032 000 руб.</w:t>
        </w:r>
      </w:hyperlink>
    </w:p>
    <w:p w:rsidR="00915E86" w:rsidRDefault="00915E86" w:rsidP="00915E86">
      <w:pPr>
        <w:pStyle w:val="ConsPlusNormal"/>
        <w:jc w:val="both"/>
      </w:pPr>
      <w:r>
        <w:t xml:space="preserve">Пониженные тарифы </w:t>
      </w:r>
      <w:hyperlink r:id="rId57" w:history="1">
        <w:r>
          <w:rPr>
            <w:color w:val="0000FF"/>
          </w:rPr>
          <w:t>для малого бизнеса</w:t>
        </w:r>
      </w:hyperlink>
      <w:r>
        <w:t xml:space="preserve"> с 01.01.2022 могут применять организации </w:t>
      </w:r>
      <w:hyperlink r:id="rId58" w:history="1">
        <w:r>
          <w:rPr>
            <w:color w:val="0000FF"/>
          </w:rPr>
          <w:t>общепита</w:t>
        </w:r>
      </w:hyperlink>
      <w:r>
        <w:t xml:space="preserve"> со среднесписочной численностью до </w:t>
      </w:r>
      <w:hyperlink r:id="rId59" w:history="1">
        <w:r>
          <w:rPr>
            <w:color w:val="0000FF"/>
          </w:rPr>
          <w:t>1 500 чел.</w:t>
        </w:r>
      </w:hyperlink>
      <w:r>
        <w:t xml:space="preserve"> и долей доходов от общепита не менее 70% (</w:t>
      </w:r>
      <w:hyperlink r:id="rId60" w:history="1">
        <w:r>
          <w:rPr>
            <w:color w:val="0000FF"/>
          </w:rPr>
          <w:t>ст. 427</w:t>
        </w:r>
      </w:hyperlink>
      <w:r>
        <w:t xml:space="preserve"> НК РФ).</w:t>
      </w:r>
    </w:p>
    <w:p w:rsidR="00915E86" w:rsidRDefault="00915E86" w:rsidP="00915E86">
      <w:pPr>
        <w:pStyle w:val="ConsPlusNormal"/>
        <w:jc w:val="both"/>
      </w:pPr>
      <w:r>
        <w:t>Сдавать электронную отчетность в ПФР и ФСС надо при численности работников свыше 10 человек (</w:t>
      </w:r>
      <w:hyperlink r:id="rId61" w:history="1">
        <w:r>
          <w:rPr>
            <w:color w:val="0000FF"/>
          </w:rPr>
          <w:t>ст. ст. 8</w:t>
        </w:r>
      </w:hyperlink>
      <w:r>
        <w:t xml:space="preserve">, </w:t>
      </w:r>
      <w:hyperlink r:id="rId62" w:history="1">
        <w:r>
          <w:rPr>
            <w:color w:val="0000FF"/>
          </w:rPr>
          <w:t>11</w:t>
        </w:r>
      </w:hyperlink>
      <w:r>
        <w:t xml:space="preserve"> Закона N 27-ФЗ, </w:t>
      </w:r>
      <w:hyperlink r:id="rId63" w:history="1">
        <w:r>
          <w:rPr>
            <w:color w:val="0000FF"/>
          </w:rPr>
          <w:t>ст. 24</w:t>
        </w:r>
      </w:hyperlink>
      <w:r>
        <w:t xml:space="preserve"> Закона N 125-ФЗ).</w:t>
      </w:r>
    </w:p>
    <w:p w:rsidR="00915E86" w:rsidRDefault="00915E86" w:rsidP="00915E86">
      <w:pPr>
        <w:pStyle w:val="ConsPlusNormal"/>
        <w:jc w:val="both"/>
      </w:pPr>
      <w:r>
        <w:t>Сдавать отчетность в ПФР и ФСС можно по электронной доверенности (</w:t>
      </w:r>
      <w:hyperlink r:id="rId64" w:history="1">
        <w:r>
          <w:rPr>
            <w:color w:val="0000FF"/>
          </w:rPr>
          <w:t>ст. 8</w:t>
        </w:r>
      </w:hyperlink>
      <w:r>
        <w:t xml:space="preserve"> Закона N 27-ФЗ, </w:t>
      </w:r>
      <w:hyperlink r:id="rId65" w:history="1">
        <w:r>
          <w:rPr>
            <w:color w:val="0000FF"/>
          </w:rPr>
          <w:t>ст. 24</w:t>
        </w:r>
      </w:hyperlink>
      <w:r>
        <w:t xml:space="preserve"> Закона N 125-ФЗ).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Налог на имущество</w:t>
      </w:r>
    </w:p>
    <w:p w:rsidR="00915E86" w:rsidRDefault="00915E86" w:rsidP="00915E86">
      <w:pPr>
        <w:pStyle w:val="ConsPlusNormal"/>
        <w:jc w:val="both"/>
      </w:pPr>
      <w:r>
        <w:t xml:space="preserve">Установлены общие для всех регионов сроки уплаты: налог за 2021 г. - 01.03.2022, авансовые платежи - 04.05.2022, </w:t>
      </w:r>
      <w:r>
        <w:lastRenderedPageBreak/>
        <w:t>01.08.2022, 31.10.2022 (</w:t>
      </w:r>
      <w:hyperlink r:id="rId66" w:history="1">
        <w:r>
          <w:rPr>
            <w:color w:val="0000FF"/>
          </w:rPr>
          <w:t>ст. 383</w:t>
        </w:r>
      </w:hyperlink>
      <w:r>
        <w:t xml:space="preserve"> НК РФ).</w:t>
      </w:r>
    </w:p>
    <w:p w:rsidR="00915E86" w:rsidRDefault="00915E86" w:rsidP="00915E86">
      <w:pPr>
        <w:pStyle w:val="ConsPlusNormal"/>
        <w:jc w:val="both"/>
      </w:pPr>
      <w:r>
        <w:t xml:space="preserve">Начиная с отчетности за 2022 г. не нужно включать в декларацию данные о недвижимости, облагаемой по кадастровой стоимости. Если у вас есть льготы по ней, в 2022 г. подайте в инспекцию </w:t>
      </w:r>
      <w:hyperlink r:id="rId67" w:history="1">
        <w:r>
          <w:rPr>
            <w:color w:val="0000FF"/>
          </w:rPr>
          <w:t>заявление</w:t>
        </w:r>
      </w:hyperlink>
      <w:r>
        <w:t xml:space="preserve"> (</w:t>
      </w:r>
      <w:hyperlink r:id="rId68" w:history="1">
        <w:r>
          <w:rPr>
            <w:color w:val="0000FF"/>
          </w:rPr>
          <w:t>ст. 382</w:t>
        </w:r>
      </w:hyperlink>
      <w:r>
        <w:t xml:space="preserve"> НК РФ, </w:t>
      </w:r>
      <w:hyperlink r:id="rId69" w:history="1">
        <w:r>
          <w:rPr>
            <w:color w:val="0000FF"/>
          </w:rPr>
          <w:t>ст. 2</w:t>
        </w:r>
      </w:hyperlink>
      <w:r>
        <w:t xml:space="preserve"> Закона N 305-ФЗ).</w:t>
      </w:r>
    </w:p>
    <w:p w:rsidR="00915E86" w:rsidRDefault="00915E86" w:rsidP="00915E86">
      <w:pPr>
        <w:pStyle w:val="ConsPlusNormal"/>
        <w:jc w:val="both"/>
      </w:pPr>
      <w:r>
        <w:t xml:space="preserve">С 2022 г. налог за арендованное имущество, учитываемое на балансе арендатора по правилам </w:t>
      </w:r>
      <w:hyperlink r:id="rId70" w:history="1">
        <w:r>
          <w:rPr>
            <w:color w:val="0000FF"/>
          </w:rPr>
          <w:t>ФСБУ 25/2018</w:t>
        </w:r>
      </w:hyperlink>
      <w:r>
        <w:t>, платит арендодатель (</w:t>
      </w:r>
      <w:hyperlink r:id="rId71" w:history="1">
        <w:r>
          <w:rPr>
            <w:color w:val="0000FF"/>
          </w:rPr>
          <w:t>ст. 378</w:t>
        </w:r>
      </w:hyperlink>
      <w:r>
        <w:t xml:space="preserve"> НК РФ).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УСН</w:t>
      </w:r>
    </w:p>
    <w:p w:rsidR="00915E86" w:rsidRDefault="00915E86" w:rsidP="00915E86">
      <w:pPr>
        <w:pStyle w:val="ConsPlusNormal"/>
        <w:jc w:val="both"/>
      </w:pPr>
      <w:r>
        <w:t xml:space="preserve">С 01.07.2022 в Москве, Московской и Калужской областях и Татарстане вводят новый налоговый режим - </w:t>
      </w:r>
      <w:hyperlink r:id="rId72" w:history="1">
        <w:r>
          <w:rPr>
            <w:color w:val="0000FF"/>
          </w:rPr>
          <w:t>АУСН</w:t>
        </w:r>
      </w:hyperlink>
      <w:r>
        <w:t>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Новые ФСБУ</w:t>
      </w:r>
      <w:r>
        <w:t xml:space="preserve">, обязательные с 2022 г., - </w:t>
      </w:r>
      <w:hyperlink r:id="rId73" w:history="1">
        <w:r>
          <w:rPr>
            <w:color w:val="0000FF"/>
          </w:rPr>
          <w:t>ФСБУ 6/2020</w:t>
        </w:r>
      </w:hyperlink>
      <w:r>
        <w:t xml:space="preserve">, </w:t>
      </w:r>
      <w:hyperlink r:id="rId74" w:history="1">
        <w:r>
          <w:rPr>
            <w:color w:val="0000FF"/>
          </w:rPr>
          <w:t>ФСБУ 26/2020</w:t>
        </w:r>
      </w:hyperlink>
      <w:r>
        <w:t xml:space="preserve">, </w:t>
      </w:r>
      <w:hyperlink r:id="rId75" w:history="1">
        <w:r>
          <w:rPr>
            <w:color w:val="0000FF"/>
          </w:rPr>
          <w:t>ФСБУ 25/2018</w:t>
        </w:r>
      </w:hyperlink>
      <w:r>
        <w:t xml:space="preserve"> и </w:t>
      </w:r>
      <w:hyperlink r:id="rId76" w:history="1">
        <w:r>
          <w:rPr>
            <w:color w:val="0000FF"/>
          </w:rPr>
          <w:t>ФСБУ 27/2021</w:t>
        </w:r>
      </w:hyperlink>
      <w:r>
        <w:t>.</w:t>
      </w:r>
    </w:p>
    <w:p w:rsidR="00915E86" w:rsidRDefault="00915E86" w:rsidP="00915E86">
      <w:pPr>
        <w:pStyle w:val="ConsPlusNormal"/>
        <w:jc w:val="both"/>
      </w:pPr>
      <w:r>
        <w:rPr>
          <w:b/>
        </w:rPr>
        <w:t>КБК</w:t>
      </w:r>
      <w:r>
        <w:t xml:space="preserve"> на 2022 г. по основным налогам и взносам </w:t>
      </w:r>
      <w:hyperlink r:id="rId77" w:history="1">
        <w:r>
          <w:rPr>
            <w:color w:val="0000FF"/>
          </w:rPr>
          <w:t>не изменились</w:t>
        </w:r>
      </w:hyperlink>
      <w:r>
        <w:t xml:space="preserve"> (</w:t>
      </w:r>
      <w:hyperlink r:id="rId78" w:history="1">
        <w:r>
          <w:rPr>
            <w:color w:val="0000FF"/>
          </w:rPr>
          <w:t>Приказ</w:t>
        </w:r>
      </w:hyperlink>
      <w:r>
        <w:t xml:space="preserve"> Минфина от 08.06.2021 N 75н).</w:t>
      </w:r>
    </w:p>
    <w:p w:rsidR="00915E86" w:rsidRPr="00915E86" w:rsidRDefault="00915E86" w:rsidP="00915E86">
      <w:pPr>
        <w:pBdr>
          <w:top w:val="single" w:sz="12" w:space="1" w:color="auto"/>
          <w:bottom w:val="single" w:sz="12" w:space="1" w:color="auto"/>
        </w:pBdr>
        <w:spacing w:after="0"/>
        <w:rPr>
          <w:sz w:val="2"/>
          <w:szCs w:val="2"/>
        </w:rPr>
      </w:pPr>
    </w:p>
    <w:p w:rsidR="00915E86" w:rsidRDefault="00915E86" w:rsidP="00915E86">
      <w:pPr>
        <w:spacing w:after="0"/>
      </w:pPr>
    </w:p>
    <w:sectPr w:rsidR="00915E86" w:rsidSect="00915E86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86"/>
    <w:rsid w:val="002E2830"/>
    <w:rsid w:val="00753131"/>
    <w:rsid w:val="008122B1"/>
    <w:rsid w:val="00915E86"/>
    <w:rsid w:val="00D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59CA"/>
  <w15:chartTrackingRefBased/>
  <w15:docId w15:val="{800969EF-A6B4-45AA-9507-7EDB619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15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PBI&amp;n=223160&amp;dst=100034" TargetMode="External"/><Relationship Id="rId21" Type="http://schemas.openxmlformats.org/officeDocument/2006/relationships/hyperlink" Target="https://login.consultant.ru/link/?req=doc&amp;base=PBI&amp;n=84151" TargetMode="External"/><Relationship Id="rId42" Type="http://schemas.openxmlformats.org/officeDocument/2006/relationships/hyperlink" Target="https://login.consultant.ru/link/?req=doc&amp;base=PBI&amp;n=216351&amp;dst=100056" TargetMode="External"/><Relationship Id="rId47" Type="http://schemas.openxmlformats.org/officeDocument/2006/relationships/hyperlink" Target="https://login.consultant.ru/link/?req=doc&amp;base=LAW&amp;n=395525&amp;dst=100007" TargetMode="External"/><Relationship Id="rId63" Type="http://schemas.openxmlformats.org/officeDocument/2006/relationships/hyperlink" Target="https://login.consultant.ru/link/?req=doc&amp;base=LAW&amp;n=405623&amp;dst=860" TargetMode="External"/><Relationship Id="rId68" Type="http://schemas.openxmlformats.org/officeDocument/2006/relationships/hyperlink" Target="https://login.consultant.ru/link/?req=doc&amp;base=LAW&amp;n=414890&amp;dst=21068" TargetMode="External"/><Relationship Id="rId16" Type="http://schemas.openxmlformats.org/officeDocument/2006/relationships/hyperlink" Target="https://login.consultant.ru/link/?req=doc&amp;base=LAW&amp;n=416119&amp;dst=100012" TargetMode="External"/><Relationship Id="rId11" Type="http://schemas.openxmlformats.org/officeDocument/2006/relationships/hyperlink" Target="https://login.consultant.ru/link/?req=doc&amp;base=PBI&amp;n=240408&amp;dst=1000000002" TargetMode="External"/><Relationship Id="rId24" Type="http://schemas.openxmlformats.org/officeDocument/2006/relationships/hyperlink" Target="https://login.consultant.ru/link/?req=doc&amp;base=PBI&amp;n=204728&amp;dst=100027" TargetMode="External"/><Relationship Id="rId32" Type="http://schemas.openxmlformats.org/officeDocument/2006/relationships/hyperlink" Target="https://login.consultant.ru/link/?req=doc&amp;base=LAW&amp;n=415438&amp;dst=100005" TargetMode="External"/><Relationship Id="rId37" Type="http://schemas.openxmlformats.org/officeDocument/2006/relationships/hyperlink" Target="https://login.consultant.ru/link/?req=doc&amp;base=PBI&amp;n=59935&amp;dst=100012" TargetMode="External"/><Relationship Id="rId40" Type="http://schemas.openxmlformats.org/officeDocument/2006/relationships/hyperlink" Target="https://login.consultant.ru/link/?req=doc&amp;base=LAW&amp;n=410378&amp;dst=21605" TargetMode="External"/><Relationship Id="rId45" Type="http://schemas.openxmlformats.org/officeDocument/2006/relationships/hyperlink" Target="https://login.consultant.ru/link/?req=doc&amp;base=LAW&amp;n=414890&amp;dst=20466" TargetMode="External"/><Relationship Id="rId53" Type="http://schemas.openxmlformats.org/officeDocument/2006/relationships/hyperlink" Target="https://login.consultant.ru/link/?req=doc&amp;base=LAW&amp;n=399607&amp;dst=169" TargetMode="External"/><Relationship Id="rId58" Type="http://schemas.openxmlformats.org/officeDocument/2006/relationships/hyperlink" Target="https://login.consultant.ru/link/?req=doc&amp;base=LAW&amp;n=412118&amp;dst=104326" TargetMode="External"/><Relationship Id="rId66" Type="http://schemas.openxmlformats.org/officeDocument/2006/relationships/hyperlink" Target="https://login.consultant.ru/link/?req=doc&amp;base=LAW&amp;n=414890&amp;dst=21073" TargetMode="External"/><Relationship Id="rId74" Type="http://schemas.openxmlformats.org/officeDocument/2006/relationships/hyperlink" Target="https://login.consultant.ru/link/?req=doc&amp;base=PBI&amp;n=6294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login.consultant.ru/link/?req=doc&amp;base=PBI&amp;n=204728&amp;dst=100007" TargetMode="External"/><Relationship Id="rId61" Type="http://schemas.openxmlformats.org/officeDocument/2006/relationships/hyperlink" Target="https://login.consultant.ru/link/?req=doc&amp;base=LAW&amp;n=405634&amp;dst=297" TargetMode="External"/><Relationship Id="rId19" Type="http://schemas.openxmlformats.org/officeDocument/2006/relationships/hyperlink" Target="https://login.consultant.ru/link/?req=doc&amp;base=LAW&amp;n=416119&amp;dst=100254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login.consultant.ru/link/?req=doc&amp;base=PBI&amp;n=204728&amp;dst=100007" TargetMode="External"/><Relationship Id="rId27" Type="http://schemas.openxmlformats.org/officeDocument/2006/relationships/hyperlink" Target="https://login.consultant.ru/link/?req=doc&amp;base=LAW&amp;n=416119&amp;dst=100007" TargetMode="External"/><Relationship Id="rId30" Type="http://schemas.openxmlformats.org/officeDocument/2006/relationships/hyperlink" Target="https://login.consultant.ru/link/?req=doc&amp;base=LAW&amp;n=416253&amp;dst=5472" TargetMode="External"/><Relationship Id="rId35" Type="http://schemas.openxmlformats.org/officeDocument/2006/relationships/hyperlink" Target="https://login.consultant.ru/link/?req=doc&amp;base=PBI&amp;n=199890&amp;dst=100028" TargetMode="External"/><Relationship Id="rId43" Type="http://schemas.openxmlformats.org/officeDocument/2006/relationships/hyperlink" Target="https://login.consultant.ru/link/?req=doc&amp;base=LAW&amp;n=412118&amp;dst=104326" TargetMode="External"/><Relationship Id="rId48" Type="http://schemas.openxmlformats.org/officeDocument/2006/relationships/hyperlink" Target="https://login.consultant.ru/link/?req=doc&amp;base=LAW&amp;n=414890&amp;dst=20708" TargetMode="External"/><Relationship Id="rId56" Type="http://schemas.openxmlformats.org/officeDocument/2006/relationships/hyperlink" Target="https://login.consultant.ru/link/?req=doc&amp;base=LAW&amp;n=400729&amp;dst=100006" TargetMode="External"/><Relationship Id="rId64" Type="http://schemas.openxmlformats.org/officeDocument/2006/relationships/hyperlink" Target="https://login.consultant.ru/link/?req=doc&amp;base=LAW&amp;n=405634&amp;dst=298" TargetMode="External"/><Relationship Id="rId69" Type="http://schemas.openxmlformats.org/officeDocument/2006/relationships/hyperlink" Target="https://login.consultant.ru/link/?req=doc&amp;base=LAW&amp;n=388995&amp;dst=100570" TargetMode="External"/><Relationship Id="rId77" Type="http://schemas.openxmlformats.org/officeDocument/2006/relationships/hyperlink" Target="https://login.consultant.ru/link/?req=doc&amp;base=PBI&amp;n=199869" TargetMode="External"/><Relationship Id="rId8" Type="http://schemas.openxmlformats.org/officeDocument/2006/relationships/hyperlink" Target="https://login.consultant.ru/link/?req=doc&amp;base=LAW&amp;n=416119&amp;dst=100172" TargetMode="External"/><Relationship Id="rId51" Type="http://schemas.openxmlformats.org/officeDocument/2006/relationships/hyperlink" Target="https://login.consultant.ru/link/?req=doc&amp;base=LAW&amp;n=399607&amp;dst=173" TargetMode="External"/><Relationship Id="rId72" Type="http://schemas.openxmlformats.org/officeDocument/2006/relationships/hyperlink" Target="https://login.consultant.ru/link/?req=doc&amp;base=PBI&amp;n=298983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6119&amp;dst=100005" TargetMode="External"/><Relationship Id="rId17" Type="http://schemas.openxmlformats.org/officeDocument/2006/relationships/hyperlink" Target="https://login.consultant.ru/link/?req=doc&amp;base=LAW&amp;n=416119&amp;dst=100172" TargetMode="External"/><Relationship Id="rId25" Type="http://schemas.openxmlformats.org/officeDocument/2006/relationships/hyperlink" Target="https://login.consultant.ru/link/?req=doc&amp;base=LAW&amp;n=416119&amp;dst=100172" TargetMode="External"/><Relationship Id="rId33" Type="http://schemas.openxmlformats.org/officeDocument/2006/relationships/hyperlink" Target="https://login.consultant.ru/link/?req=doc&amp;base=PBI&amp;n=162304&amp;dst=100003" TargetMode="External"/><Relationship Id="rId38" Type="http://schemas.openxmlformats.org/officeDocument/2006/relationships/hyperlink" Target="https://login.consultant.ru/link/?req=doc&amp;base=PBI&amp;n=282404&amp;dst=100009" TargetMode="External"/><Relationship Id="rId46" Type="http://schemas.openxmlformats.org/officeDocument/2006/relationships/hyperlink" Target="https://login.consultant.ru/link/?req=doc&amp;base=LAW&amp;n=414890&amp;dst=20484" TargetMode="External"/><Relationship Id="rId59" Type="http://schemas.openxmlformats.org/officeDocument/2006/relationships/hyperlink" Target="https://login.consultant.ru/link/?req=doc&amp;base=LAW&amp;n=389676&amp;dst=340" TargetMode="External"/><Relationship Id="rId67" Type="http://schemas.openxmlformats.org/officeDocument/2006/relationships/hyperlink" Target="https://login.consultant.ru/link/?req=doc&amp;base=PBI&amp;n=282263&amp;dst=100018" TargetMode="External"/><Relationship Id="rId20" Type="http://schemas.openxmlformats.org/officeDocument/2006/relationships/hyperlink" Target="https://login.consultant.ru/link/?req=doc&amp;base=PBI&amp;n=240408&amp;dst=1000000002" TargetMode="External"/><Relationship Id="rId41" Type="http://schemas.openxmlformats.org/officeDocument/2006/relationships/hyperlink" Target="https://login.consultant.ru/link/?req=doc&amp;base=LAW&amp;n=412692&amp;dst=100132" TargetMode="External"/><Relationship Id="rId54" Type="http://schemas.openxmlformats.org/officeDocument/2006/relationships/hyperlink" Target="https://login.consultant.ru/link/?req=doc&amp;base=LAW&amp;n=399607&amp;dst=196" TargetMode="External"/><Relationship Id="rId62" Type="http://schemas.openxmlformats.org/officeDocument/2006/relationships/hyperlink" Target="https://login.consultant.ru/link/?req=doc&amp;base=LAW&amp;n=405634&amp;dst=299" TargetMode="External"/><Relationship Id="rId70" Type="http://schemas.openxmlformats.org/officeDocument/2006/relationships/hyperlink" Target="https://login.consultant.ru/link/?req=doc&amp;base=PBI&amp;n=285821&amp;dst=100004" TargetMode="External"/><Relationship Id="rId75" Type="http://schemas.openxmlformats.org/officeDocument/2006/relationships/hyperlink" Target="https://login.consultant.ru/link/?req=doc&amp;base=PBI&amp;n=2858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119&amp;dst=100012" TargetMode="External"/><Relationship Id="rId15" Type="http://schemas.openxmlformats.org/officeDocument/2006/relationships/hyperlink" Target="https://login.consultant.ru/link/?req=doc&amp;base=LAW&amp;n=416119&amp;dst=1000000001" TargetMode="External"/><Relationship Id="rId23" Type="http://schemas.openxmlformats.org/officeDocument/2006/relationships/hyperlink" Target="https://login.consultant.ru/link/?req=doc&amp;base=LAW&amp;n=416119&amp;dst=100012" TargetMode="External"/><Relationship Id="rId28" Type="http://schemas.openxmlformats.org/officeDocument/2006/relationships/hyperlink" Target="https://login.consultant.ru/link/?req=doc&amp;base=LAW&amp;n=412680&amp;dst=100004" TargetMode="External"/><Relationship Id="rId36" Type="http://schemas.openxmlformats.org/officeDocument/2006/relationships/hyperlink" Target="https://login.consultant.ru/link/?req=doc&amp;base=PBI&amp;n=199981&amp;dst=100002" TargetMode="External"/><Relationship Id="rId49" Type="http://schemas.openxmlformats.org/officeDocument/2006/relationships/hyperlink" Target="https://login.consultant.ru/link/?req=doc&amp;base=LAW&amp;n=389186&amp;dst=100027" TargetMode="External"/><Relationship Id="rId57" Type="http://schemas.openxmlformats.org/officeDocument/2006/relationships/hyperlink" Target="https://login.consultant.ru/link/?req=doc&amp;base=PBI&amp;n=229038" TargetMode="External"/><Relationship Id="rId10" Type="http://schemas.openxmlformats.org/officeDocument/2006/relationships/hyperlink" Target="https://login.consultant.ru/link/?req=doc&amp;base=LAW&amp;n=416119&amp;dst=100007" TargetMode="External"/><Relationship Id="rId31" Type="http://schemas.openxmlformats.org/officeDocument/2006/relationships/hyperlink" Target="https://login.consultant.ru/link/?req=doc&amp;base=LAW&amp;n=414836&amp;dst=100007" TargetMode="External"/><Relationship Id="rId44" Type="http://schemas.openxmlformats.org/officeDocument/2006/relationships/hyperlink" Target="https://login.consultant.ru/link/?req=doc&amp;base=LAW&amp;n=414890&amp;dst=20844" TargetMode="External"/><Relationship Id="rId52" Type="http://schemas.openxmlformats.org/officeDocument/2006/relationships/hyperlink" Target="https://login.consultant.ru/link/?req=doc&amp;base=LAW&amp;n=399607&amp;dst=167" TargetMode="External"/><Relationship Id="rId60" Type="http://schemas.openxmlformats.org/officeDocument/2006/relationships/hyperlink" Target="https://login.consultant.ru/link/?req=doc&amp;base=LAW&amp;n=414890&amp;dst=21083" TargetMode="External"/><Relationship Id="rId65" Type="http://schemas.openxmlformats.org/officeDocument/2006/relationships/hyperlink" Target="https://login.consultant.ru/link/?req=doc&amp;base=LAW&amp;n=405623&amp;dst=862" TargetMode="External"/><Relationship Id="rId73" Type="http://schemas.openxmlformats.org/officeDocument/2006/relationships/hyperlink" Target="https://login.consultant.ru/link/?req=doc&amp;base=PBI&amp;n=259965" TargetMode="External"/><Relationship Id="rId78" Type="http://schemas.openxmlformats.org/officeDocument/2006/relationships/hyperlink" Target="https://login.consultant.ru/link/?req=doc&amp;base=LAW&amp;n=413367&amp;dst=107176" TargetMode="External"/><Relationship Id="rId4" Type="http://schemas.openxmlformats.org/officeDocument/2006/relationships/hyperlink" Target="http://consultantugra.ru/klientam/goryachaya-liniya/reglament-linii-konsultacij/" TargetMode="External"/><Relationship Id="rId9" Type="http://schemas.openxmlformats.org/officeDocument/2006/relationships/hyperlink" Target="https://login.consultant.ru/link/?req=doc&amp;base=PBI&amp;n=223160&amp;dst=100034" TargetMode="External"/><Relationship Id="rId13" Type="http://schemas.openxmlformats.org/officeDocument/2006/relationships/hyperlink" Target="https://login.consultant.ru/link/?req=doc&amp;base=LAW&amp;n=416119&amp;dst=100006" TargetMode="External"/><Relationship Id="rId18" Type="http://schemas.openxmlformats.org/officeDocument/2006/relationships/hyperlink" Target="https://login.consultant.ru/link/?req=doc&amp;base=LAW&amp;n=414890&amp;dst=13648" TargetMode="External"/><Relationship Id="rId39" Type="http://schemas.openxmlformats.org/officeDocument/2006/relationships/hyperlink" Target="https://login.consultant.ru/link/?req=doc&amp;base=LAW&amp;n=412885&amp;dst=100005" TargetMode="External"/><Relationship Id="rId34" Type="http://schemas.openxmlformats.org/officeDocument/2006/relationships/hyperlink" Target="https://login.consultant.ru/link/?req=doc&amp;base=PBI&amp;n=199900&amp;dst=100002" TargetMode="External"/><Relationship Id="rId50" Type="http://schemas.openxmlformats.org/officeDocument/2006/relationships/hyperlink" Target="https://login.consultant.ru/link/?req=doc&amp;base=LAW&amp;n=399513&amp;dst=100012" TargetMode="External"/><Relationship Id="rId55" Type="http://schemas.openxmlformats.org/officeDocument/2006/relationships/hyperlink" Target="https://login.consultant.ru/link/?req=doc&amp;base=LAW&amp;n=400729&amp;dst=100007" TargetMode="External"/><Relationship Id="rId76" Type="http://schemas.openxmlformats.org/officeDocument/2006/relationships/hyperlink" Target="https://login.consultant.ru/link/?req=doc&amp;base=PBI&amp;n=287649" TargetMode="External"/><Relationship Id="rId7" Type="http://schemas.openxmlformats.org/officeDocument/2006/relationships/hyperlink" Target="https://login.consultant.ru/link/?req=doc&amp;base=PBI&amp;n=204728&amp;dst=100027" TargetMode="External"/><Relationship Id="rId71" Type="http://schemas.openxmlformats.org/officeDocument/2006/relationships/hyperlink" Target="https://login.consultant.ru/link/?req=doc&amp;base=LAW&amp;n=414890&amp;dst=214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PBI&amp;n=70679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dcterms:created xsi:type="dcterms:W3CDTF">2022-05-19T09:38:00Z</dcterms:created>
  <dcterms:modified xsi:type="dcterms:W3CDTF">2022-05-19T09:56:00Z</dcterms:modified>
</cp:coreProperties>
</file>