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7BB9" w14:textId="77777777" w:rsidR="00602FB8" w:rsidRDefault="00602FB8" w:rsidP="00602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Материал предоставлен ООО «КонсультантПлюс Югра».</w:t>
      </w:r>
    </w:p>
    <w:p w14:paraId="55785BD2" w14:textId="77777777" w:rsidR="00602FB8" w:rsidRDefault="00602FB8" w:rsidP="00602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Услуга оказывается в соответствии с регламентом Линии консультаций: </w:t>
      </w:r>
      <w:hyperlink r:id="rId4" w:history="1">
        <w:r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http://consultantugra.ru/klientam/goryachaya-liniya/reglament-linii-konsultacij/</w:t>
        </w:r>
      </w:hyperlink>
      <w:r>
        <w:rPr>
          <w:rFonts w:ascii="Times New Roman" w:eastAsia="Times New Roman" w:hAnsi="Times New Roman" w:cs="Times New Roman"/>
          <w:bCs/>
          <w:lang w:eastAsia="ru-RU"/>
        </w:rPr>
        <w:br/>
      </w: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2FB8" w14:paraId="6B958EAE" w14:textId="77777777" w:rsidTr="00602FB8">
        <w:trPr>
          <w:trHeight w:val="187"/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05676B8C" w14:textId="69A63523" w:rsidR="00602FB8" w:rsidRDefault="00602FB8">
            <w:pPr>
              <w:widowControl w:val="0"/>
              <w:autoSpaceDE w:val="0"/>
              <w:autoSpaceDN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392C69"/>
              </w:rPr>
              <w:t>Актуально на 1</w:t>
            </w:r>
            <w:r>
              <w:rPr>
                <w:rFonts w:ascii="Times New Roman" w:eastAsia="Times New Roman" w:hAnsi="Times New Roman" w:cs="Times New Roman"/>
                <w:bCs/>
                <w:color w:val="392C69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392C69"/>
              </w:rPr>
              <w:t>.04.2022</w:t>
            </w:r>
          </w:p>
        </w:tc>
      </w:tr>
    </w:tbl>
    <w:p w14:paraId="4EA4C914" w14:textId="2B92A3AB" w:rsidR="00664F24" w:rsidRPr="00664F24" w:rsidRDefault="00602FB8" w:rsidP="00664F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По вопросу:</w:t>
      </w:r>
      <w:r>
        <w:rPr>
          <w:rFonts w:ascii="Calibri" w:eastAsia="Calibri" w:hAnsi="Calibri" w:cs="Times New Roman"/>
        </w:rPr>
        <w:t xml:space="preserve"> </w:t>
      </w:r>
      <w:r w:rsidR="00664F24" w:rsidRPr="00664F24">
        <w:rPr>
          <w:rFonts w:ascii="Times New Roman" w:eastAsia="Calibri" w:hAnsi="Times New Roman" w:cs="Times New Roman"/>
        </w:rPr>
        <w:t>АС вынесено РЕШЕНИЕ о введении в отношении должника конкурсного производства по упрощенной процедуре отсутствующего должника сроком на шесть месяцев, т.е. определения о введении наблюдения не было.</w:t>
      </w:r>
    </w:p>
    <w:p w14:paraId="638FAB96" w14:textId="0A7DB2FD" w:rsidR="00602FB8" w:rsidRDefault="00664F24" w:rsidP="00664F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F24">
        <w:rPr>
          <w:rFonts w:ascii="Times New Roman" w:eastAsia="Calibri" w:hAnsi="Times New Roman" w:cs="Times New Roman"/>
        </w:rPr>
        <w:t>В какой момент прекращается начисление неустойки.</w:t>
      </w:r>
    </w:p>
    <w:p w14:paraId="13484EE2" w14:textId="77777777" w:rsidR="00664F24" w:rsidRPr="00664F24" w:rsidRDefault="00664F24" w:rsidP="00664F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9B6756F" w14:textId="77777777" w:rsidR="00602FB8" w:rsidRDefault="00602FB8" w:rsidP="00602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Сообщаем:</w:t>
      </w:r>
    </w:p>
    <w:tbl>
      <w:tblPr>
        <w:tblW w:w="4541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"/>
        <w:gridCol w:w="218"/>
        <w:gridCol w:w="9336"/>
        <w:gridCol w:w="173"/>
      </w:tblGrid>
      <w:tr w:rsidR="00602FB8" w14:paraId="22484C0D" w14:textId="77777777" w:rsidTr="00602FB8">
        <w:tc>
          <w:tcPr>
            <w:tcW w:w="59" w:type="dxa"/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3D1EF" w14:textId="77777777" w:rsidR="00602FB8" w:rsidRDefault="00602FB8">
            <w:pPr>
              <w:spacing w:after="1" w:line="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9708C" w14:textId="77777777" w:rsidR="00602FB8" w:rsidRDefault="00602FB8">
            <w:pPr>
              <w:spacing w:after="1" w:line="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0" w:type="dxa"/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7124291F" w14:textId="0299CF98" w:rsidR="00C36FC2" w:rsidRPr="00C36FC2" w:rsidRDefault="00C36FC2" w:rsidP="00C36F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….</w:t>
            </w:r>
            <w:r w:rsidRPr="00C36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hyperlink r:id="rId5" w:history="1">
              <w:r w:rsidRPr="00C36FC2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пункте 4</w:t>
              </w:r>
            </w:hyperlink>
            <w:r w:rsidRPr="00C36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Постановления Пленума ВАС РФ от 06.12.2013 N 88 "О начислении и уплате процентов по требованиям кредиторов при банкротстве" &lt;21&gt; разъяснено, что в период процедуры наблюдения на возникшие до возбуждения дела о банкротстве требования кредиторов (как заявленные в процедуре наблюдения, так и не заявленные в ней</w:t>
            </w:r>
            <w:r w:rsidRPr="00C36FC2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ru-RU"/>
              </w:rPr>
              <w:t>) по аналогии</w:t>
            </w:r>
            <w:r w:rsidRPr="00C36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</w:t>
            </w:r>
            <w:hyperlink r:id="rId6" w:history="1">
              <w:r w:rsidRPr="00C36FC2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абз. 10 п. 1 ст. 81</w:t>
              </w:r>
            </w:hyperlink>
            <w:r w:rsidRPr="00C36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r:id="rId7" w:history="1">
              <w:r w:rsidRPr="00C36FC2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абз. 3 п. 2 ст. 95</w:t>
              </w:r>
            </w:hyperlink>
            <w:r w:rsidRPr="00C36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r:id="rId8" w:history="1">
              <w:r w:rsidRPr="00C36F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Cs w:val="20"/>
                  <w:u w:val="single"/>
                  <w:lang w:eastAsia="ru-RU"/>
                </w:rPr>
                <w:t>абз. 3 п. 1 ст. 126</w:t>
              </w:r>
            </w:hyperlink>
            <w:r w:rsidRPr="00C36FC2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ru-RU"/>
              </w:rPr>
              <w:t xml:space="preserve"> Закона о банкротстве подлежащие уплате по условиям обязательства проценты, а также санкции не начисляются</w:t>
            </w:r>
            <w:r w:rsidRPr="00C36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Вместо них на сумму основного требования по аналогии с </w:t>
            </w:r>
            <w:hyperlink r:id="rId9" w:history="1">
              <w:r w:rsidRPr="00C36FC2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п. 2 ст. 81</w:t>
              </w:r>
            </w:hyperlink>
            <w:r w:rsidRPr="00C36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r:id="rId10" w:history="1">
              <w:r w:rsidRPr="00C36FC2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абз. 4 п. 2 ст. 95</w:t>
              </w:r>
            </w:hyperlink>
            <w:r w:rsidRPr="00C36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r:id="rId11" w:history="1">
              <w:r w:rsidRPr="00C36FC2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п. 2.1 ст. 126</w:t>
              </w:r>
            </w:hyperlink>
            <w:r w:rsidRPr="00C36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Закона о банкротстве с даты введения наблюдения и до даты введения следующей процедуры банкротства начисляются проценты в размере ставки рефинансирования, установленной Центральным банком Российской Федерации на дату введения наблюдения.</w:t>
            </w:r>
          </w:p>
          <w:p w14:paraId="134A8599" w14:textId="77777777" w:rsidR="00C36FC2" w:rsidRPr="00C36FC2" w:rsidRDefault="00C36FC2" w:rsidP="00C36FC2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--------------------------------</w:t>
            </w:r>
          </w:p>
          <w:p w14:paraId="2CF3F176" w14:textId="77777777" w:rsidR="00C36FC2" w:rsidRPr="00C36FC2" w:rsidRDefault="00C36FC2" w:rsidP="00C36FC2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&lt;21&gt; </w:t>
            </w:r>
            <w:hyperlink r:id="rId12" w:history="1">
              <w:r w:rsidRPr="00C36FC2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C36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Пленума ВАС РФ от 06.12.2013 N 88 "О начислении и уплате процентов по требованиям кредиторов при банкротстве" // Вестник ВАС РФ. 2014. N 2. Февраль.</w:t>
            </w:r>
          </w:p>
          <w:p w14:paraId="2582FC28" w14:textId="77777777" w:rsidR="00C36FC2" w:rsidRPr="00C36FC2" w:rsidRDefault="00C36FC2" w:rsidP="00C36FC2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FC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Согласно </w:t>
            </w:r>
            <w:hyperlink r:id="rId13" w:history="1">
              <w:r w:rsidRPr="00C36F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Cs w:val="20"/>
                  <w:lang w:eastAsia="ru-RU"/>
                </w:rPr>
                <w:t>абз. 3 п. 1 ст. 126</w:t>
              </w:r>
            </w:hyperlink>
            <w:r w:rsidRPr="00C36FC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Закона о банкротстве </w:t>
            </w:r>
            <w:r w:rsidRPr="00C36FC2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ru-RU"/>
              </w:rPr>
              <w:t>с даты принятия арбитражным судом решения о признании должника банкротом и об открытии конкурсного производства прекращается начисление процентов, неустоек</w:t>
            </w:r>
            <w:r w:rsidRPr="00C36FC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(штрафов, пеней)</w:t>
            </w:r>
            <w:r w:rsidRPr="00C36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иных санкций за неисполнение или ненадлежащее исполнение денежных обязательств и обязательных платежей, за исключением текущих платежей, а также процентов, предусмотренных настоящей </w:t>
            </w:r>
            <w:hyperlink r:id="rId14" w:history="1">
              <w:r w:rsidRPr="00C36FC2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статьей</w:t>
              </w:r>
            </w:hyperlink>
            <w:r w:rsidRPr="00C36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В силу </w:t>
            </w:r>
            <w:hyperlink r:id="rId15" w:history="1">
              <w:r w:rsidRPr="00C36FC2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п. 2.1 ст. 126</w:t>
              </w:r>
            </w:hyperlink>
            <w:r w:rsidRPr="00C36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Закона о банкротстве на сумму требований конкурсного кредитора, уполномоченного органа в размере, установленном в соответствии со </w:t>
            </w:r>
            <w:hyperlink r:id="rId16" w:history="1">
              <w:r w:rsidRPr="00C36FC2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ст. 4</w:t>
              </w:r>
            </w:hyperlink>
            <w:r w:rsidRPr="00C36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Закона о банкротстве, начисляются проценты в порядке и в размере, которые предусмотрены настоящей </w:t>
            </w:r>
            <w:hyperlink r:id="rId17" w:history="1">
              <w:r w:rsidRPr="00C36FC2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статьей</w:t>
              </w:r>
            </w:hyperlink>
            <w:r w:rsidRPr="00C36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Проценты на сумму требований конкурсного кредитора, уполномоченного органа, выраженную в валюте Российской Федерации, начисляются в размере ставки рефинансирования, установленной Центральным банком Российской Федерации на дату открытия конкурсного производства.</w:t>
            </w:r>
          </w:p>
          <w:p w14:paraId="2D105E87" w14:textId="77777777" w:rsidR="00C36FC2" w:rsidRPr="00C36FC2" w:rsidRDefault="00C36FC2" w:rsidP="00C36FC2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ru-RU"/>
              </w:rPr>
            </w:pPr>
            <w:r w:rsidRPr="00C36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Таким образом, </w:t>
            </w:r>
            <w:r w:rsidRPr="00C36FC2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ru-RU"/>
              </w:rPr>
              <w:t>неустойка подлежит начислению по дату, предшествующую дате вынесения арбитражным судом определения о введении наблюдения.</w:t>
            </w:r>
          </w:p>
          <w:p w14:paraId="6828597A" w14:textId="77777777" w:rsidR="00602FB8" w:rsidRDefault="00C36FC2" w:rsidP="00C36FC2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  <w:r w:rsidRPr="00C36FC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Источник: </w:t>
            </w:r>
            <w:hyperlink r:id="rId18" w:history="1">
              <w:r w:rsidRPr="00C36FC2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br/>
                <w:t>{Статья: К вопросу об обеспечении исполнения застройщиком-банкротом обязательств по договору участия в долевом строительстве неустойкой и сроке исковой давности по требованию о неустойке (Рогова Ю.В.) ("Вестник арбитражной практики", 2021, N 4) {КонсультантПлюс}}</w:t>
              </w:r>
            </w:hyperlink>
          </w:p>
          <w:p w14:paraId="369784C3" w14:textId="0F4F16BF" w:rsidR="00C36FC2" w:rsidRPr="00C36FC2" w:rsidRDefault="00C36FC2" w:rsidP="00C36F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D039B" w14:textId="77777777" w:rsidR="00602FB8" w:rsidRDefault="00602FB8">
            <w:pPr>
              <w:spacing w:after="1" w:line="0" w:lineRule="atLeast"/>
              <w:rPr>
                <w:rFonts w:ascii="Times New Roman" w:eastAsia="Calibri" w:hAnsi="Times New Roman" w:cs="Times New Roman"/>
              </w:rPr>
            </w:pPr>
          </w:p>
          <w:p w14:paraId="6D10382F" w14:textId="77777777" w:rsidR="00602FB8" w:rsidRDefault="00602FB8">
            <w:pPr>
              <w:spacing w:after="1" w:line="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14:paraId="4A9A54A1" w14:textId="77777777" w:rsidR="00602FB8" w:rsidRDefault="00602FB8" w:rsidP="00602FB8">
      <w:pPr>
        <w:spacing w:after="0" w:line="220" w:lineRule="atLeast"/>
        <w:ind w:right="708"/>
        <w:rPr>
          <w:rFonts w:ascii="Times New Roman" w:eastAsia="Calibri" w:hAnsi="Times New Roman" w:cs="Times New Roman"/>
          <w:bCs/>
        </w:rPr>
      </w:pPr>
    </w:p>
    <w:p w14:paraId="1DAD9063" w14:textId="77777777" w:rsidR="00602FB8" w:rsidRDefault="00602FB8" w:rsidP="00602FB8">
      <w:pPr>
        <w:spacing w:after="0" w:line="220" w:lineRule="atLeas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Для поиска информации по вопросу использовались ключевые слова в строке «быстрый поиск»:</w:t>
      </w:r>
    </w:p>
    <w:p w14:paraId="2688EF06" w14:textId="20377484" w:rsidR="00602FB8" w:rsidRDefault="00602FB8" w:rsidP="00602FB8">
      <w:pPr>
        <w:spacing w:after="0" w:line="220" w:lineRule="atLeast"/>
        <w:jc w:val="center"/>
        <w:rPr>
          <w:rFonts w:ascii="Times New Roman" w:eastAsia="Calibri" w:hAnsi="Times New Roman" w:cs="Times New Roman"/>
          <w:bCs/>
          <w:color w:val="FF0000"/>
        </w:rPr>
      </w:pPr>
      <w:r>
        <w:rPr>
          <w:rFonts w:ascii="Times New Roman" w:eastAsia="Calibri" w:hAnsi="Times New Roman" w:cs="Times New Roman"/>
          <w:bCs/>
          <w:color w:val="FF0000"/>
        </w:rPr>
        <w:t>«</w:t>
      </w:r>
      <w:r>
        <w:rPr>
          <w:rFonts w:ascii="Times New Roman" w:eastAsia="Calibri" w:hAnsi="Times New Roman" w:cs="Times New Roman"/>
          <w:bCs/>
          <w:color w:val="FF0000"/>
        </w:rPr>
        <w:t xml:space="preserve">неустойка в </w:t>
      </w:r>
      <w:r w:rsidR="00664F24">
        <w:rPr>
          <w:rFonts w:ascii="Times New Roman" w:eastAsia="Calibri" w:hAnsi="Times New Roman" w:cs="Times New Roman"/>
          <w:bCs/>
          <w:color w:val="FF0000"/>
        </w:rPr>
        <w:t>банкротстве</w:t>
      </w:r>
      <w:r>
        <w:rPr>
          <w:rFonts w:ascii="Times New Roman" w:eastAsia="Calibri" w:hAnsi="Times New Roman" w:cs="Times New Roman"/>
          <w:bCs/>
          <w:color w:val="FF0000"/>
        </w:rPr>
        <w:t>»</w:t>
      </w:r>
    </w:p>
    <w:p w14:paraId="6E467079" w14:textId="77777777" w:rsidR="00602FB8" w:rsidRDefault="00602FB8" w:rsidP="00602FB8">
      <w:pPr>
        <w:spacing w:after="0" w:line="220" w:lineRule="atLeast"/>
        <w:rPr>
          <w:rFonts w:ascii="Times New Roman" w:eastAsia="Calibri" w:hAnsi="Times New Roman" w:cs="Times New Roman"/>
          <w:bCs/>
          <w:color w:val="FF0000"/>
        </w:rPr>
      </w:pPr>
    </w:p>
    <w:p w14:paraId="1F55D41C" w14:textId="77777777" w:rsidR="00602FB8" w:rsidRDefault="00602FB8" w:rsidP="00602FB8">
      <w:pPr>
        <w:widowControl w:val="0"/>
        <w:autoSpaceDE w:val="0"/>
        <w:autoSpaceDN w:val="0"/>
        <w:adjustRightInd w:val="0"/>
        <w:spacing w:after="0" w:line="240" w:lineRule="auto"/>
        <w:ind w:right="-28" w:firstLine="54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Поиск информации осуществлялся  при  помощи  </w:t>
      </w:r>
      <w:r>
        <w:rPr>
          <w:rFonts w:ascii="Times New Roman" w:eastAsia="Times New Roman" w:hAnsi="Times New Roman" w:cs="Times New Roman"/>
          <w:bCs/>
          <w:color w:val="0000FF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FF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FF"/>
          <w:lang w:eastAsia="ru-RU"/>
        </w:rPr>
        <w:t xml:space="preserve">» </w:t>
      </w:r>
    </w:p>
    <w:p w14:paraId="3AB6FD48" w14:textId="77777777" w:rsidR="00602FB8" w:rsidRDefault="00602FB8" w:rsidP="00602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91F7519" w14:textId="77777777" w:rsidR="00602FB8" w:rsidRDefault="00602FB8" w:rsidP="00602F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eastAsia="Calibri" w:hAnsi="Times New Roman" w:cs="Times New Roman"/>
          <w:b/>
        </w:rPr>
        <w:t>ПОЛЕЗНЫЕ ДОКУМЕНТЫ:</w:t>
      </w:r>
    </w:p>
    <w:p w14:paraId="26FD00D9" w14:textId="77777777" w:rsidR="00CC77A8" w:rsidRPr="00664F24" w:rsidRDefault="00CC77A8" w:rsidP="00CC77A8">
      <w:pPr>
        <w:pStyle w:val="ConsPlusNormal"/>
        <w:rPr>
          <w:rFonts w:ascii="Times New Roman" w:hAnsi="Times New Roman" w:cs="Times New Roman"/>
        </w:rPr>
      </w:pPr>
      <w:hyperlink r:id="rId19" w:history="1">
        <w:r w:rsidRPr="00664F24">
          <w:rPr>
            <w:rFonts w:ascii="Times New Roman" w:hAnsi="Times New Roman" w:cs="Times New Roman"/>
            <w:i/>
            <w:color w:val="0000FF"/>
          </w:rPr>
          <w:br/>
          <w:t>ст. 126, Федеральный закон от 26.10.2002 N 127-ФЗ (ред. от 30.12.2021, с изм. от 03.02.2022) "О несостоятельности (банкротстве)" {КонсультантПлюс}</w:t>
        </w:r>
      </w:hyperlink>
      <w:r w:rsidRPr="00664F24">
        <w:rPr>
          <w:rFonts w:ascii="Times New Roman" w:hAnsi="Times New Roman" w:cs="Times New Roman"/>
        </w:rPr>
        <w:br/>
      </w:r>
    </w:p>
    <w:p w14:paraId="1471797C" w14:textId="77777777" w:rsidR="00602FB8" w:rsidRPr="00664F24" w:rsidRDefault="00602FB8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</w:p>
    <w:p w14:paraId="5DFD6FEA" w14:textId="4C7DE2C5" w:rsidR="00602FB8" w:rsidRPr="00664F24" w:rsidRDefault="00602FB8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664F24">
        <w:rPr>
          <w:rFonts w:ascii="Times New Roman" w:hAnsi="Times New Roman" w:cs="Times New Roman"/>
        </w:rPr>
        <w:t>Статья 126. Последствия открытия конкурсного производства</w:t>
      </w:r>
    </w:p>
    <w:p w14:paraId="5EBB42F1" w14:textId="77777777" w:rsidR="00602FB8" w:rsidRPr="00664F24" w:rsidRDefault="00602FB8">
      <w:pPr>
        <w:pStyle w:val="ConsPlusNormal"/>
        <w:rPr>
          <w:rFonts w:ascii="Times New Roman" w:hAnsi="Times New Roman" w:cs="Times New Roman"/>
        </w:rPr>
      </w:pPr>
    </w:p>
    <w:p w14:paraId="5103F6B6" w14:textId="77777777" w:rsidR="00602FB8" w:rsidRPr="00664F24" w:rsidRDefault="00602F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  <w:r w:rsidRPr="00664F24">
        <w:rPr>
          <w:rFonts w:ascii="Times New Roman" w:hAnsi="Times New Roman" w:cs="Times New Roman"/>
        </w:rPr>
        <w:t xml:space="preserve">1. </w:t>
      </w:r>
      <w:r w:rsidRPr="00664F24">
        <w:rPr>
          <w:rFonts w:ascii="Times New Roman" w:hAnsi="Times New Roman" w:cs="Times New Roman"/>
          <w:b/>
          <w:bCs/>
          <w:u w:val="single"/>
        </w:rPr>
        <w:t>С даты принятия арбитражным судом решения о признании должника банкротом и об открытии конкурсного производства:</w:t>
      </w:r>
    </w:p>
    <w:p w14:paraId="201C71D2" w14:textId="77777777" w:rsidR="00602FB8" w:rsidRPr="00664F24" w:rsidRDefault="00602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F24">
        <w:rPr>
          <w:rFonts w:ascii="Times New Roman" w:hAnsi="Times New Roman" w:cs="Times New Roman"/>
        </w:rPr>
        <w:t>срок исполнения возникших до открытия конкурсного производства денежных обязательств и уплаты обязательных платежей должника считается наступившим;</w:t>
      </w:r>
    </w:p>
    <w:p w14:paraId="7E4746A0" w14:textId="77777777" w:rsidR="00602FB8" w:rsidRPr="00664F24" w:rsidRDefault="00602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F24">
        <w:rPr>
          <w:rFonts w:ascii="Times New Roman" w:hAnsi="Times New Roman" w:cs="Times New Roman"/>
          <w:b/>
          <w:bCs/>
          <w:u w:val="single"/>
        </w:rPr>
        <w:t>прекращается начисление процентов, неустоек</w:t>
      </w:r>
      <w:r w:rsidRPr="00664F24">
        <w:rPr>
          <w:rFonts w:ascii="Times New Roman" w:hAnsi="Times New Roman" w:cs="Times New Roman"/>
        </w:rPr>
        <w:t xml:space="preserve"> (штрафов, пеней) и иных санкций за неисполнение или ненадлежащее исполнение денежных обязательств и обязательных платежей, за исключением текущих платежей, а также процентов, предусмотренных настоящей </w:t>
      </w:r>
      <w:hyperlink r:id="rId20" w:history="1">
        <w:r w:rsidRPr="00664F24">
          <w:rPr>
            <w:rFonts w:ascii="Times New Roman" w:hAnsi="Times New Roman" w:cs="Times New Roman"/>
            <w:color w:val="0000FF"/>
          </w:rPr>
          <w:t>статьей</w:t>
        </w:r>
      </w:hyperlink>
      <w:r w:rsidRPr="00664F24">
        <w:rPr>
          <w:rFonts w:ascii="Times New Roman" w:hAnsi="Times New Roman" w:cs="Times New Roman"/>
        </w:rPr>
        <w:t>;</w:t>
      </w:r>
    </w:p>
    <w:p w14:paraId="0F6D50F4" w14:textId="77777777" w:rsidR="00602FB8" w:rsidRPr="00664F24" w:rsidRDefault="00602FB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664F24">
        <w:rPr>
          <w:rFonts w:ascii="Times New Roman" w:hAnsi="Times New Roman" w:cs="Times New Roman"/>
        </w:rPr>
        <w:t xml:space="preserve">(в ред. Федерального </w:t>
      </w:r>
      <w:hyperlink r:id="rId21" w:history="1">
        <w:r w:rsidRPr="00664F24">
          <w:rPr>
            <w:rFonts w:ascii="Times New Roman" w:hAnsi="Times New Roman" w:cs="Times New Roman"/>
            <w:color w:val="0000FF"/>
          </w:rPr>
          <w:t>закона</w:t>
        </w:r>
      </w:hyperlink>
      <w:r w:rsidRPr="00664F24">
        <w:rPr>
          <w:rFonts w:ascii="Times New Roman" w:hAnsi="Times New Roman" w:cs="Times New Roman"/>
        </w:rPr>
        <w:t xml:space="preserve"> от 30.12.2008 N 296-ФЗ)</w:t>
      </w:r>
    </w:p>
    <w:p w14:paraId="2636FFB8" w14:textId="77777777" w:rsidR="00CC77A8" w:rsidRPr="00664F24" w:rsidRDefault="00CC77A8">
      <w:pPr>
        <w:rPr>
          <w:rFonts w:ascii="Times New Roman" w:hAnsi="Times New Roman" w:cs="Times New Roman"/>
        </w:rPr>
      </w:pPr>
    </w:p>
    <w:sectPr w:rsidR="00CC77A8" w:rsidRPr="00664F24" w:rsidSect="00602FB8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B8"/>
    <w:rsid w:val="0032255D"/>
    <w:rsid w:val="00602FB8"/>
    <w:rsid w:val="00664F24"/>
    <w:rsid w:val="00C36FC2"/>
    <w:rsid w:val="00C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DB79"/>
  <w15:chartTrackingRefBased/>
  <w15:docId w15:val="{AE4F4A0B-518C-471B-8B61-6279B55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F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670&amp;dst=1176" TargetMode="External"/><Relationship Id="rId13" Type="http://schemas.openxmlformats.org/officeDocument/2006/relationships/hyperlink" Target="https://login.consultant.ru/link/?req=doc&amp;base=LAW&amp;n=389670&amp;dst=1176" TargetMode="External"/><Relationship Id="rId18" Type="http://schemas.openxmlformats.org/officeDocument/2006/relationships/hyperlink" Target="https://login.consultant.ru/link/?req=doc&amp;base=CJI&amp;n=138590&amp;dst=1001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21689&amp;dst=101308" TargetMode="External"/><Relationship Id="rId7" Type="http://schemas.openxmlformats.org/officeDocument/2006/relationships/hyperlink" Target="https://login.consultant.ru/link/?req=doc&amp;base=LAW&amp;n=389670&amp;dst=941" TargetMode="External"/><Relationship Id="rId12" Type="http://schemas.openxmlformats.org/officeDocument/2006/relationships/hyperlink" Target="https://login.consultant.ru/link/?req=doc&amp;base=LAW&amp;n=156506" TargetMode="External"/><Relationship Id="rId17" Type="http://schemas.openxmlformats.org/officeDocument/2006/relationships/hyperlink" Target="https://login.consultant.ru/link/?req=doc&amp;base=LAW&amp;n=389670&amp;dst=1013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9670&amp;dst=5183" TargetMode="External"/><Relationship Id="rId20" Type="http://schemas.openxmlformats.org/officeDocument/2006/relationships/hyperlink" Target="https://login.consultant.ru/link/?req=doc&amp;base=LAW&amp;n=405930&amp;dst=118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670&amp;dst=871" TargetMode="External"/><Relationship Id="rId11" Type="http://schemas.openxmlformats.org/officeDocument/2006/relationships/hyperlink" Target="https://login.consultant.ru/link/?req=doc&amp;base=LAW&amp;n=389670&amp;dst=1180" TargetMode="External"/><Relationship Id="rId5" Type="http://schemas.openxmlformats.org/officeDocument/2006/relationships/hyperlink" Target="https://login.consultant.ru/link/?req=doc&amp;base=LAW&amp;n=156506&amp;dst=100018" TargetMode="External"/><Relationship Id="rId15" Type="http://schemas.openxmlformats.org/officeDocument/2006/relationships/hyperlink" Target="https://login.consultant.ru/link/?req=doc&amp;base=LAW&amp;n=389670&amp;dst=11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9670&amp;dst=101004" TargetMode="External"/><Relationship Id="rId19" Type="http://schemas.openxmlformats.org/officeDocument/2006/relationships/hyperlink" Target="https://login.consultant.ru/link/?req=doc&amp;base=LAW&amp;n=405930&amp;dst=101313" TargetMode="External"/><Relationship Id="rId4" Type="http://schemas.openxmlformats.org/officeDocument/2006/relationships/hyperlink" Target="http://consultantugra.ru/klientam/goryachaya-liniya/reglament-linii-konsultacij/" TargetMode="External"/><Relationship Id="rId9" Type="http://schemas.openxmlformats.org/officeDocument/2006/relationships/hyperlink" Target="https://login.consultant.ru/link/?req=doc&amp;base=LAW&amp;n=389670&amp;dst=872" TargetMode="External"/><Relationship Id="rId14" Type="http://schemas.openxmlformats.org/officeDocument/2006/relationships/hyperlink" Target="https://login.consultant.ru/link/?req=doc&amp;base=LAW&amp;n=389670&amp;dst=1013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</dc:creator>
  <cp:keywords/>
  <dc:description/>
  <cp:lastModifiedBy>hline</cp:lastModifiedBy>
  <cp:revision>1</cp:revision>
  <dcterms:created xsi:type="dcterms:W3CDTF">2022-04-15T06:23:00Z</dcterms:created>
  <dcterms:modified xsi:type="dcterms:W3CDTF">2022-04-15T06:46:00Z</dcterms:modified>
</cp:coreProperties>
</file>